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CFA" w:rsidRDefault="00EE444E" w:rsidP="00054320">
      <w:pPr>
        <w:jc w:val="center"/>
      </w:pPr>
      <w:r>
        <w:rPr>
          <w:noProof/>
          <w:sz w:val="40"/>
          <w:szCs w:val="40"/>
          <w:lang w:eastAsia="es-NI"/>
        </w:rPr>
        <w:drawing>
          <wp:anchor distT="0" distB="0" distL="114300" distR="114300" simplePos="0" relativeHeight="251728896" behindDoc="1" locked="0" layoutInCell="1" allowOverlap="1" wp14:anchorId="383AEB25" wp14:editId="475BB1B3">
            <wp:simplePos x="0" y="0"/>
            <wp:positionH relativeFrom="page">
              <wp:align>left</wp:align>
            </wp:positionH>
            <wp:positionV relativeFrom="paragraph">
              <wp:posOffset>-1059815</wp:posOffset>
            </wp:positionV>
            <wp:extent cx="7762875" cy="10052162"/>
            <wp:effectExtent l="0" t="0" r="0" b="635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_propuesta1.png"/>
                    <pic:cNvPicPr/>
                  </pic:nvPicPr>
                  <pic:blipFill>
                    <a:blip r:embed="rId8">
                      <a:extLst>
                        <a:ext uri="{28A0092B-C50C-407E-A947-70E740481C1C}">
                          <a14:useLocalDpi xmlns:a14="http://schemas.microsoft.com/office/drawing/2010/main" val="0"/>
                        </a:ext>
                      </a:extLst>
                    </a:blip>
                    <a:stretch>
                      <a:fillRect/>
                    </a:stretch>
                  </pic:blipFill>
                  <pic:spPr>
                    <a:xfrm>
                      <a:off x="0" y="0"/>
                      <a:ext cx="7762875" cy="10052162"/>
                    </a:xfrm>
                    <a:prstGeom prst="rect">
                      <a:avLst/>
                    </a:prstGeom>
                  </pic:spPr>
                </pic:pic>
              </a:graphicData>
            </a:graphic>
            <wp14:sizeRelH relativeFrom="page">
              <wp14:pctWidth>0</wp14:pctWidth>
            </wp14:sizeRelH>
            <wp14:sizeRelV relativeFrom="page">
              <wp14:pctHeight>0</wp14:pctHeight>
            </wp14:sizeRelV>
          </wp:anchor>
        </w:drawing>
      </w:r>
    </w:p>
    <w:p w:rsidR="00054320" w:rsidRDefault="00054320" w:rsidP="00054320">
      <w:pPr>
        <w:jc w:val="center"/>
      </w:pPr>
    </w:p>
    <w:p w:rsidR="00054320" w:rsidRDefault="00054320" w:rsidP="00054320">
      <w:pPr>
        <w:jc w:val="center"/>
      </w:pPr>
    </w:p>
    <w:p w:rsidR="00054320" w:rsidRDefault="00A30EEF">
      <w:r w:rsidRPr="00EE444E">
        <w:rPr>
          <w:rFonts w:ascii="Calibri" w:eastAsia="Calibri" w:hAnsi="Calibri" w:cs="Times New Roman"/>
          <w:noProof/>
          <w:sz w:val="16"/>
        </w:rPr>
        <mc:AlternateContent>
          <mc:Choice Requires="wps">
            <w:drawing>
              <wp:anchor distT="0" distB="0" distL="114300" distR="114300" simplePos="0" relativeHeight="251732992" behindDoc="0" locked="0" layoutInCell="1" allowOverlap="1" wp14:anchorId="5F54BADD" wp14:editId="50918CF9">
                <wp:simplePos x="0" y="0"/>
                <wp:positionH relativeFrom="margin">
                  <wp:align>left</wp:align>
                </wp:positionH>
                <wp:positionV relativeFrom="paragraph">
                  <wp:posOffset>6130925</wp:posOffset>
                </wp:positionV>
                <wp:extent cx="1828368" cy="523875"/>
                <wp:effectExtent l="0" t="0" r="0" b="0"/>
                <wp:wrapNone/>
                <wp:docPr id="4" name="Rectángulo 4"/>
                <wp:cNvGraphicFramePr/>
                <a:graphic xmlns:a="http://schemas.openxmlformats.org/drawingml/2006/main">
                  <a:graphicData uri="http://schemas.microsoft.com/office/word/2010/wordprocessingShape">
                    <wps:wsp>
                      <wps:cNvSpPr/>
                      <wps:spPr>
                        <a:xfrm>
                          <a:off x="0" y="0"/>
                          <a:ext cx="1828368" cy="523875"/>
                        </a:xfrm>
                        <a:prstGeom prst="rect">
                          <a:avLst/>
                        </a:prstGeom>
                        <a:noFill/>
                        <a:ln w="12700" cap="flat" cmpd="sng" algn="ctr">
                          <a:noFill/>
                          <a:prstDash val="solid"/>
                          <a:miter lim="800000"/>
                        </a:ln>
                        <a:effectLst/>
                      </wps:spPr>
                      <wps:txbx>
                        <w:txbxContent>
                          <w:p w:rsidR="00EE444E" w:rsidRPr="00EE444E" w:rsidRDefault="00104BB8" w:rsidP="00A30EEF">
                            <w:pPr>
                              <w:rPr>
                                <w:rFonts w:ascii="Garamond" w:hAnsi="Garamond"/>
                                <w:color w:val="2E74B5"/>
                                <w:sz w:val="40"/>
                                <w:szCs w:val="40"/>
                              </w:rPr>
                            </w:pPr>
                            <w:r>
                              <w:rPr>
                                <w:rFonts w:ascii="Garamond" w:hAnsi="Garamond"/>
                                <w:color w:val="2E74B5"/>
                                <w:sz w:val="40"/>
                                <w:szCs w:val="40"/>
                              </w:rPr>
                              <w:t>Octubre</w:t>
                            </w:r>
                            <w:r w:rsidR="00EE444E" w:rsidRPr="00EE444E">
                              <w:rPr>
                                <w:rFonts w:ascii="Garamond" w:hAnsi="Garamond"/>
                                <w:color w:val="2E74B5"/>
                                <w:sz w:val="40"/>
                                <w:szCs w:val="40"/>
                              </w:rPr>
                              <w:t xml:space="preserv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4BADD" id="Rectángulo 4" o:spid="_x0000_s1026" style="position:absolute;margin-left:0;margin-top:482.75pt;width:143.95pt;height:41.25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" filled="f" stroked="f" strokeweight="1pt">
                <v:textbox>
                  <w:txbxContent>
                    <w:p w:rsidR="00EE444E" w:rsidRPr="00EE444E" w:rsidRDefault="00104BB8" w:rsidP="00A30EEF">
                      <w:pPr>
                        <w:rPr>
                          <w:rFonts w:ascii="Garamond" w:hAnsi="Garamond"/>
                          <w:color w:val="2E74B5"/>
                          <w:sz w:val="40"/>
                          <w:szCs w:val="40"/>
                        </w:rPr>
                      </w:pPr>
                      <w:r>
                        <w:rPr>
                          <w:rFonts w:ascii="Garamond" w:hAnsi="Garamond"/>
                          <w:color w:val="2E74B5"/>
                          <w:sz w:val="40"/>
                          <w:szCs w:val="40"/>
                        </w:rPr>
                        <w:t>Octubre</w:t>
                      </w:r>
                      <w:r w:rsidR="00EE444E" w:rsidRPr="00EE444E">
                        <w:rPr>
                          <w:rFonts w:ascii="Garamond" w:hAnsi="Garamond"/>
                          <w:color w:val="2E74B5"/>
                          <w:sz w:val="40"/>
                          <w:szCs w:val="40"/>
                        </w:rPr>
                        <w:t xml:space="preserve"> 2023</w:t>
                      </w:r>
                    </w:p>
                  </w:txbxContent>
                </v:textbox>
                <w10:wrap anchorx="margin"/>
              </v:rect>
            </w:pict>
          </mc:Fallback>
        </mc:AlternateContent>
      </w:r>
      <w:r w:rsidR="00EE444E">
        <w:rPr>
          <w:noProof/>
          <w:sz w:val="16"/>
        </w:rPr>
        <mc:AlternateContent>
          <mc:Choice Requires="wps">
            <w:drawing>
              <wp:anchor distT="0" distB="0" distL="114300" distR="114300" simplePos="0" relativeHeight="251730944" behindDoc="0" locked="0" layoutInCell="1" allowOverlap="1" wp14:anchorId="7AD9FA61" wp14:editId="176757D9">
                <wp:simplePos x="0" y="0"/>
                <wp:positionH relativeFrom="margin">
                  <wp:align>left</wp:align>
                </wp:positionH>
                <wp:positionV relativeFrom="paragraph">
                  <wp:posOffset>2054225</wp:posOffset>
                </wp:positionV>
                <wp:extent cx="3552825" cy="1933575"/>
                <wp:effectExtent l="0" t="0" r="0" b="0"/>
                <wp:wrapNone/>
                <wp:docPr id="2" name="Rectángulo 2"/>
                <wp:cNvGraphicFramePr/>
                <a:graphic xmlns:a="http://schemas.openxmlformats.org/drawingml/2006/main">
                  <a:graphicData uri="http://schemas.microsoft.com/office/word/2010/wordprocessingShape">
                    <wps:wsp>
                      <wps:cNvSpPr/>
                      <wps:spPr>
                        <a:xfrm>
                          <a:off x="0" y="0"/>
                          <a:ext cx="3552825" cy="1933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0EEF" w:rsidRDefault="007F352D" w:rsidP="00A30EEF">
                            <w:pPr>
                              <w:rPr>
                                <w:rFonts w:ascii="Garamond" w:hAnsi="Garamond"/>
                                <w:color w:val="2F5496" w:themeColor="accent1" w:themeShade="BF"/>
                                <w:sz w:val="60"/>
                                <w:szCs w:val="60"/>
                              </w:rPr>
                            </w:pPr>
                            <w:r w:rsidRPr="007F352D">
                              <w:rPr>
                                <w:rFonts w:ascii="Garamond" w:hAnsi="Garamond"/>
                                <w:color w:val="2F5496" w:themeColor="accent1" w:themeShade="BF"/>
                                <w:sz w:val="60"/>
                                <w:szCs w:val="60"/>
                              </w:rPr>
                              <w:t xml:space="preserve">Resultados </w:t>
                            </w:r>
                          </w:p>
                          <w:p w:rsidR="007F352D" w:rsidRPr="007F352D" w:rsidRDefault="007F352D" w:rsidP="00A30EEF">
                            <w:pPr>
                              <w:rPr>
                                <w:rFonts w:ascii="Garamond" w:hAnsi="Garamond"/>
                                <w:color w:val="2F5496" w:themeColor="accent1" w:themeShade="BF"/>
                                <w:sz w:val="60"/>
                                <w:szCs w:val="60"/>
                              </w:rPr>
                            </w:pPr>
                            <w:r w:rsidRPr="007F352D">
                              <w:rPr>
                                <w:rFonts w:ascii="Garamond" w:hAnsi="Garamond"/>
                                <w:color w:val="2F5496" w:themeColor="accent1" w:themeShade="BF"/>
                                <w:sz w:val="60"/>
                                <w:szCs w:val="60"/>
                              </w:rPr>
                              <w:t>de la Balanza de Pagos</w:t>
                            </w:r>
                          </w:p>
                          <w:p w:rsidR="00EE444E" w:rsidRPr="00897288" w:rsidRDefault="00EE444E" w:rsidP="00A30EEF">
                            <w:pPr>
                              <w:rPr>
                                <w:rFonts w:ascii="Garamond" w:hAnsi="Garamond"/>
                                <w:color w:val="000000" w:themeColor="text1"/>
                                <w:sz w:val="60"/>
                                <w:szCs w:val="60"/>
                              </w:rPr>
                            </w:pPr>
                            <w:r w:rsidRPr="00B14BAC">
                              <w:rPr>
                                <w:rFonts w:ascii="Garamond" w:hAnsi="Garamond"/>
                                <w:color w:val="2F5496" w:themeColor="accent1" w:themeShade="BF"/>
                                <w:sz w:val="60"/>
                                <w:szCs w:val="60"/>
                              </w:rPr>
                              <w:t>I</w:t>
                            </w:r>
                            <w:r w:rsidR="00104BB8">
                              <w:rPr>
                                <w:rFonts w:ascii="Garamond" w:hAnsi="Garamond"/>
                                <w:color w:val="2F5496" w:themeColor="accent1" w:themeShade="BF"/>
                                <w:sz w:val="60"/>
                                <w:szCs w:val="60"/>
                              </w:rPr>
                              <w:t>I</w:t>
                            </w:r>
                            <w:r w:rsidRPr="00B14BAC">
                              <w:rPr>
                                <w:rFonts w:ascii="Garamond" w:hAnsi="Garamond"/>
                                <w:color w:val="2F5496" w:themeColor="accent1" w:themeShade="BF"/>
                                <w:sz w:val="60"/>
                                <w:szCs w:val="60"/>
                              </w:rPr>
                              <w:t xml:space="preserve"> trimestre 202</w:t>
                            </w:r>
                            <w:r>
                              <w:rPr>
                                <w:rFonts w:ascii="Garamond" w:hAnsi="Garamond"/>
                                <w:color w:val="2F5496" w:themeColor="accent1" w:themeShade="BF"/>
                                <w:sz w:val="60"/>
                                <w:szCs w:val="6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9FA61" id="Rectángulo 2" o:spid="_x0000_s1027" style="position:absolute;margin-left:0;margin-top:161.75pt;width:279.75pt;height:152.2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" filled="f" stroked="f" strokeweight="1pt">
                <v:textbox>
                  <w:txbxContent>
                    <w:p w:rsidR="00A30EEF" w:rsidRDefault="007F352D" w:rsidP="00A30EEF">
                      <w:pPr>
                        <w:rPr>
                          <w:rFonts w:ascii="Garamond" w:hAnsi="Garamond"/>
                          <w:color w:val="2F5496" w:themeColor="accent1" w:themeShade="BF"/>
                          <w:sz w:val="60"/>
                          <w:szCs w:val="60"/>
                        </w:rPr>
                      </w:pPr>
                      <w:r w:rsidRPr="007F352D">
                        <w:rPr>
                          <w:rFonts w:ascii="Garamond" w:hAnsi="Garamond"/>
                          <w:color w:val="2F5496" w:themeColor="accent1" w:themeShade="BF"/>
                          <w:sz w:val="60"/>
                          <w:szCs w:val="60"/>
                        </w:rPr>
                        <w:t xml:space="preserve">Resultados </w:t>
                      </w:r>
                    </w:p>
                    <w:p w:rsidR="007F352D" w:rsidRPr="007F352D" w:rsidRDefault="007F352D" w:rsidP="00A30EEF">
                      <w:pPr>
                        <w:rPr>
                          <w:rFonts w:ascii="Garamond" w:hAnsi="Garamond"/>
                          <w:color w:val="2F5496" w:themeColor="accent1" w:themeShade="BF"/>
                          <w:sz w:val="60"/>
                          <w:szCs w:val="60"/>
                        </w:rPr>
                      </w:pPr>
                      <w:r w:rsidRPr="007F352D">
                        <w:rPr>
                          <w:rFonts w:ascii="Garamond" w:hAnsi="Garamond"/>
                          <w:color w:val="2F5496" w:themeColor="accent1" w:themeShade="BF"/>
                          <w:sz w:val="60"/>
                          <w:szCs w:val="60"/>
                        </w:rPr>
                        <w:t>de la Balanza de Pagos</w:t>
                      </w:r>
                    </w:p>
                    <w:p w:rsidR="00EE444E" w:rsidRPr="00897288" w:rsidRDefault="00EE444E" w:rsidP="00A30EEF">
                      <w:pPr>
                        <w:rPr>
                          <w:rFonts w:ascii="Garamond" w:hAnsi="Garamond"/>
                          <w:color w:val="000000" w:themeColor="text1"/>
                          <w:sz w:val="60"/>
                          <w:szCs w:val="60"/>
                        </w:rPr>
                      </w:pPr>
                      <w:r w:rsidRPr="00B14BAC">
                        <w:rPr>
                          <w:rFonts w:ascii="Garamond" w:hAnsi="Garamond"/>
                          <w:color w:val="2F5496" w:themeColor="accent1" w:themeShade="BF"/>
                          <w:sz w:val="60"/>
                          <w:szCs w:val="60"/>
                        </w:rPr>
                        <w:t>I</w:t>
                      </w:r>
                      <w:r w:rsidR="00104BB8">
                        <w:rPr>
                          <w:rFonts w:ascii="Garamond" w:hAnsi="Garamond"/>
                          <w:color w:val="2F5496" w:themeColor="accent1" w:themeShade="BF"/>
                          <w:sz w:val="60"/>
                          <w:szCs w:val="60"/>
                        </w:rPr>
                        <w:t>I</w:t>
                      </w:r>
                      <w:r w:rsidRPr="00B14BAC">
                        <w:rPr>
                          <w:rFonts w:ascii="Garamond" w:hAnsi="Garamond"/>
                          <w:color w:val="2F5496" w:themeColor="accent1" w:themeShade="BF"/>
                          <w:sz w:val="60"/>
                          <w:szCs w:val="60"/>
                        </w:rPr>
                        <w:t xml:space="preserve"> trimestre 202</w:t>
                      </w:r>
                      <w:r>
                        <w:rPr>
                          <w:rFonts w:ascii="Garamond" w:hAnsi="Garamond"/>
                          <w:color w:val="2F5496" w:themeColor="accent1" w:themeShade="BF"/>
                          <w:sz w:val="60"/>
                          <w:szCs w:val="60"/>
                        </w:rPr>
                        <w:t>3</w:t>
                      </w:r>
                    </w:p>
                  </w:txbxContent>
                </v:textbox>
                <w10:wrap anchorx="margin"/>
              </v:rect>
            </w:pict>
          </mc:Fallback>
        </mc:AlternateContent>
      </w:r>
      <w:r w:rsidR="00054320">
        <w:br w:type="page"/>
      </w:r>
    </w:p>
    <w:p w:rsidR="002A6747" w:rsidRPr="007D5436" w:rsidRDefault="002A6747" w:rsidP="002A6747">
      <w:pPr>
        <w:pStyle w:val="TDC1"/>
        <w:tabs>
          <w:tab w:val="right" w:leader="dot" w:pos="10472"/>
        </w:tabs>
        <w:rPr>
          <w:rFonts w:ascii="Futura Md BT" w:hAnsi="Futura Md BT"/>
          <w:b/>
          <w:sz w:val="20"/>
          <w:szCs w:val="20"/>
        </w:rPr>
        <w:sectPr w:rsidR="002A6747" w:rsidRPr="007D5436" w:rsidSect="00C70B0E">
          <w:pgSz w:w="12240" w:h="15840" w:code="1"/>
          <w:pgMar w:top="1701" w:right="1418" w:bottom="1134" w:left="1418" w:header="624" w:footer="624" w:gutter="0"/>
          <w:cols w:space="708"/>
          <w:titlePg/>
          <w:docGrid w:linePitch="360"/>
        </w:sectPr>
      </w:pPr>
    </w:p>
    <w:p w:rsidR="00F6744B" w:rsidRDefault="00F6744B" w:rsidP="00D02B3A">
      <w:pPr>
        <w:pStyle w:val="Estilo2"/>
        <w:numPr>
          <w:ilvl w:val="0"/>
          <w:numId w:val="4"/>
        </w:numPr>
        <w:jc w:val="left"/>
      </w:pPr>
      <w:r>
        <w:lastRenderedPageBreak/>
        <w:t>Resumen</w:t>
      </w:r>
    </w:p>
    <w:p w:rsidR="00F6744B" w:rsidRDefault="00F6744B" w:rsidP="00F6744B">
      <w:pPr>
        <w:pStyle w:val="Estilo2"/>
        <w:ind w:left="862"/>
        <w:jc w:val="left"/>
      </w:pPr>
    </w:p>
    <w:p w:rsidR="00876708" w:rsidRPr="00861854" w:rsidRDefault="00F6744B" w:rsidP="00F6744B">
      <w:pPr>
        <w:spacing w:after="0" w:line="276" w:lineRule="auto"/>
        <w:jc w:val="both"/>
        <w:rPr>
          <w:rFonts w:ascii="Futura Lt BT" w:hAnsi="Futura Lt BT" w:cs="Courier New"/>
          <w:sz w:val="24"/>
          <w:szCs w:val="24"/>
          <w:lang w:val="es-MX"/>
        </w:rPr>
      </w:pPr>
      <w:r w:rsidRPr="00F6744B">
        <w:rPr>
          <w:rFonts w:ascii="Futura Lt BT" w:hAnsi="Futura Lt BT" w:cs="Courier New"/>
          <w:sz w:val="24"/>
          <w:szCs w:val="24"/>
          <w:lang w:val="es-MX"/>
        </w:rPr>
        <w:t xml:space="preserve">En el segundo trimestre de 2023, los resultados de la balanza de pagos fueron positivos, al registrarse </w:t>
      </w:r>
      <w:r>
        <w:rPr>
          <w:rFonts w:ascii="Futura Lt BT" w:hAnsi="Futura Lt BT" w:cs="Courier New"/>
          <w:sz w:val="24"/>
          <w:szCs w:val="24"/>
          <w:lang w:val="es-MX"/>
        </w:rPr>
        <w:t xml:space="preserve">crecimiento interanual en las </w:t>
      </w:r>
      <w:r w:rsidRPr="00F6744B">
        <w:rPr>
          <w:rFonts w:ascii="Futura Lt BT" w:hAnsi="Futura Lt BT" w:cs="Courier New"/>
          <w:sz w:val="24"/>
          <w:szCs w:val="24"/>
          <w:lang w:val="es-MX"/>
        </w:rPr>
        <w:t xml:space="preserve">exportaciones de bienes </w:t>
      </w:r>
      <w:r>
        <w:rPr>
          <w:rFonts w:ascii="Futura Lt BT" w:hAnsi="Futura Lt BT" w:cs="Courier New"/>
          <w:sz w:val="24"/>
          <w:szCs w:val="24"/>
          <w:lang w:val="es-MX"/>
        </w:rPr>
        <w:t>(US$</w:t>
      </w:r>
      <w:r w:rsidRPr="00F6744B">
        <w:rPr>
          <w:rFonts w:ascii="Futura Lt BT" w:hAnsi="Futura Lt BT" w:cs="Courier New"/>
          <w:sz w:val="24"/>
          <w:szCs w:val="24"/>
          <w:lang w:val="es-MX"/>
        </w:rPr>
        <w:t>1,765.6 millones</w:t>
      </w:r>
      <w:r>
        <w:rPr>
          <w:rFonts w:ascii="Futura Lt BT" w:hAnsi="Futura Lt BT" w:cs="Courier New"/>
          <w:sz w:val="24"/>
          <w:szCs w:val="24"/>
          <w:lang w:val="es-MX"/>
        </w:rPr>
        <w:t xml:space="preserve">) de </w:t>
      </w:r>
      <w:r w:rsidRPr="00F6744B">
        <w:rPr>
          <w:rFonts w:ascii="Futura Lt BT" w:hAnsi="Futura Lt BT" w:cs="Courier New"/>
          <w:sz w:val="24"/>
          <w:szCs w:val="24"/>
          <w:lang w:val="es-MX"/>
        </w:rPr>
        <w:t>3.0 por ciento</w:t>
      </w:r>
      <w:r>
        <w:rPr>
          <w:rFonts w:ascii="Futura Lt BT" w:hAnsi="Futura Lt BT" w:cs="Courier New"/>
          <w:sz w:val="24"/>
          <w:szCs w:val="24"/>
          <w:lang w:val="es-MX"/>
        </w:rPr>
        <w:t xml:space="preserve">, debido en parte a </w:t>
      </w:r>
      <w:r w:rsidR="00A824FD">
        <w:rPr>
          <w:rFonts w:ascii="Futura Lt BT" w:hAnsi="Futura Lt BT" w:cs="Courier New"/>
          <w:sz w:val="24"/>
          <w:szCs w:val="24"/>
          <w:lang w:val="es-MX"/>
        </w:rPr>
        <w:t>mayores volúmenes exportados</w:t>
      </w:r>
      <w:r>
        <w:rPr>
          <w:rFonts w:ascii="Futura Lt BT" w:hAnsi="Futura Lt BT" w:cs="Courier New"/>
          <w:sz w:val="24"/>
          <w:szCs w:val="24"/>
          <w:lang w:val="es-MX"/>
        </w:rPr>
        <w:t xml:space="preserve">; </w:t>
      </w:r>
      <w:r w:rsidR="00A824FD">
        <w:rPr>
          <w:rFonts w:ascii="Futura Lt BT" w:hAnsi="Futura Lt BT" w:cs="Courier New"/>
          <w:sz w:val="24"/>
          <w:szCs w:val="24"/>
          <w:lang w:val="es-MX"/>
        </w:rPr>
        <w:t xml:space="preserve">mientras las importaciones </w:t>
      </w:r>
      <w:r w:rsidR="00A824FD" w:rsidRPr="00861854">
        <w:rPr>
          <w:rFonts w:ascii="Futura Lt BT" w:hAnsi="Futura Lt BT" w:cs="Courier New"/>
          <w:sz w:val="24"/>
          <w:szCs w:val="24"/>
          <w:lang w:val="es-MX"/>
        </w:rPr>
        <w:t>de bienes (US$2,304.4 millones) mostraron una disminución de 0.8 por ciento, como resultado de aumentos en los volúmenes</w:t>
      </w:r>
      <w:r w:rsidR="00B17336" w:rsidRPr="00861854">
        <w:rPr>
          <w:rFonts w:ascii="Futura Lt BT" w:hAnsi="Futura Lt BT" w:cs="Courier New"/>
          <w:sz w:val="24"/>
          <w:szCs w:val="24"/>
          <w:lang w:val="es-MX"/>
        </w:rPr>
        <w:t xml:space="preserve"> (12.9%)</w:t>
      </w:r>
      <w:r w:rsidR="00A824FD" w:rsidRPr="00861854">
        <w:rPr>
          <w:rFonts w:ascii="Futura Lt BT" w:hAnsi="Futura Lt BT" w:cs="Courier New"/>
          <w:sz w:val="24"/>
          <w:szCs w:val="24"/>
          <w:lang w:val="es-MX"/>
        </w:rPr>
        <w:t xml:space="preserve"> y </w:t>
      </w:r>
      <w:r w:rsidR="00B17336" w:rsidRPr="00861854">
        <w:rPr>
          <w:rFonts w:ascii="Futura Lt BT" w:hAnsi="Futura Lt BT" w:cs="Courier New"/>
          <w:sz w:val="24"/>
          <w:szCs w:val="24"/>
          <w:lang w:val="es-MX"/>
        </w:rPr>
        <w:t xml:space="preserve">disminución en los </w:t>
      </w:r>
      <w:r w:rsidR="00A824FD" w:rsidRPr="00861854">
        <w:rPr>
          <w:rFonts w:ascii="Futura Lt BT" w:hAnsi="Futura Lt BT" w:cs="Courier New"/>
          <w:sz w:val="24"/>
          <w:szCs w:val="24"/>
          <w:lang w:val="es-MX"/>
        </w:rPr>
        <w:t>precios contratados (-12.1%).</w:t>
      </w:r>
      <w:r w:rsidR="00D52C07" w:rsidRPr="00861854">
        <w:rPr>
          <w:rFonts w:ascii="Futura Lt BT" w:hAnsi="Futura Lt BT" w:cs="Courier New"/>
          <w:sz w:val="24"/>
          <w:szCs w:val="24"/>
          <w:lang w:val="es-MX"/>
        </w:rPr>
        <w:t xml:space="preserve"> </w:t>
      </w:r>
      <w:r w:rsidR="00861854">
        <w:rPr>
          <w:rFonts w:ascii="Futura Lt BT" w:hAnsi="Futura Lt BT" w:cs="Courier New"/>
          <w:sz w:val="24"/>
          <w:szCs w:val="24"/>
          <w:lang w:val="es-MX"/>
        </w:rPr>
        <w:t xml:space="preserve">Con estos resultados, </w:t>
      </w:r>
      <w:r w:rsidR="00D52C07" w:rsidRPr="00861854">
        <w:rPr>
          <w:rFonts w:ascii="Futura Lt BT" w:hAnsi="Futura Lt BT" w:cs="Courier New"/>
          <w:sz w:val="24"/>
          <w:szCs w:val="24"/>
          <w:lang w:val="es-MX"/>
        </w:rPr>
        <w:t xml:space="preserve">en el primer semestre del año, las exportaciones de bienes </w:t>
      </w:r>
      <w:r w:rsidR="00192F52" w:rsidRPr="00861854">
        <w:rPr>
          <w:rFonts w:ascii="Futura Lt BT" w:hAnsi="Futura Lt BT" w:cs="Courier New"/>
          <w:sz w:val="24"/>
          <w:szCs w:val="24"/>
          <w:lang w:val="es-MX"/>
        </w:rPr>
        <w:t xml:space="preserve">(US$3,563.6 millones) experimentaron crecimiento interanual de 6.5 por ciento y </w:t>
      </w:r>
      <w:r w:rsidR="00D52C07" w:rsidRPr="00861854">
        <w:rPr>
          <w:rFonts w:ascii="Futura Lt BT" w:hAnsi="Futura Lt BT" w:cs="Courier New"/>
          <w:sz w:val="24"/>
          <w:szCs w:val="24"/>
          <w:lang w:val="es-MX"/>
        </w:rPr>
        <w:t xml:space="preserve">las importaciones </w:t>
      </w:r>
      <w:r w:rsidR="00192F52" w:rsidRPr="00861854">
        <w:rPr>
          <w:rFonts w:ascii="Futura Lt BT" w:hAnsi="Futura Lt BT" w:cs="Courier New"/>
          <w:sz w:val="24"/>
          <w:szCs w:val="24"/>
          <w:lang w:val="es-MX"/>
        </w:rPr>
        <w:t>(US$</w:t>
      </w:r>
      <w:r w:rsidR="00E22F00" w:rsidRPr="00861854">
        <w:rPr>
          <w:rFonts w:ascii="Futura Lt BT" w:hAnsi="Futura Lt BT" w:cs="Courier New"/>
          <w:sz w:val="24"/>
          <w:szCs w:val="24"/>
          <w:lang w:val="es-MX"/>
        </w:rPr>
        <w:t>4,418.6 millones</w:t>
      </w:r>
      <w:r w:rsidR="00192F52" w:rsidRPr="00861854">
        <w:rPr>
          <w:rFonts w:ascii="Futura Lt BT" w:hAnsi="Futura Lt BT" w:cs="Courier New"/>
          <w:sz w:val="24"/>
          <w:szCs w:val="24"/>
          <w:lang w:val="es-MX"/>
        </w:rPr>
        <w:t>) una disminución acumulada de 1.5 por ciento</w:t>
      </w:r>
      <w:r w:rsidR="00E22F00" w:rsidRPr="00861854">
        <w:rPr>
          <w:rFonts w:ascii="Futura Lt BT" w:hAnsi="Futura Lt BT" w:cs="Courier New"/>
          <w:sz w:val="24"/>
          <w:szCs w:val="24"/>
          <w:lang w:val="es-MX"/>
        </w:rPr>
        <w:t xml:space="preserve">. </w:t>
      </w:r>
      <w:r w:rsidR="00B17336" w:rsidRPr="00861854">
        <w:rPr>
          <w:rFonts w:ascii="Futura Lt BT" w:hAnsi="Futura Lt BT" w:cs="Courier New"/>
          <w:sz w:val="24"/>
          <w:szCs w:val="24"/>
          <w:lang w:val="es-MX"/>
        </w:rPr>
        <w:t xml:space="preserve">En relación con los ingresos por turismo de no residentes, </w:t>
      </w:r>
      <w:r w:rsidR="007A7D33">
        <w:rPr>
          <w:rFonts w:ascii="Futura Lt BT" w:hAnsi="Futura Lt BT" w:cs="Courier New"/>
          <w:sz w:val="24"/>
          <w:szCs w:val="24"/>
          <w:lang w:val="es-MX"/>
        </w:rPr>
        <w:t xml:space="preserve">en el trimestre </w:t>
      </w:r>
      <w:r w:rsidR="00B17336" w:rsidRPr="00861854">
        <w:rPr>
          <w:rFonts w:ascii="Futura Lt BT" w:hAnsi="Futura Lt BT" w:cs="Courier New"/>
          <w:sz w:val="24"/>
          <w:szCs w:val="24"/>
          <w:lang w:val="es-MX"/>
        </w:rPr>
        <w:t>se registró 148.8 millones de dólares, siendo estos mayores en 9.0 por ciento con respecto al trimestre anterior, y similares a igual per</w:t>
      </w:r>
      <w:r w:rsidR="00CA7029" w:rsidRPr="00861854">
        <w:rPr>
          <w:rFonts w:ascii="Futura Lt BT" w:hAnsi="Futura Lt BT" w:cs="Courier New"/>
          <w:sz w:val="24"/>
          <w:szCs w:val="24"/>
          <w:lang w:val="es-MX"/>
        </w:rPr>
        <w:t>í</w:t>
      </w:r>
      <w:r w:rsidR="00B17336" w:rsidRPr="00861854">
        <w:rPr>
          <w:rFonts w:ascii="Futura Lt BT" w:hAnsi="Futura Lt BT" w:cs="Courier New"/>
          <w:sz w:val="24"/>
          <w:szCs w:val="24"/>
          <w:lang w:val="es-MX"/>
        </w:rPr>
        <w:t>odo de 2022</w:t>
      </w:r>
      <w:r w:rsidR="008A74AE" w:rsidRPr="00861854">
        <w:rPr>
          <w:rFonts w:ascii="Futura Lt BT" w:hAnsi="Futura Lt BT" w:cs="Courier New"/>
          <w:sz w:val="24"/>
          <w:szCs w:val="24"/>
          <w:lang w:val="es-MX"/>
        </w:rPr>
        <w:t xml:space="preserve"> (US$148.4 millones)</w:t>
      </w:r>
      <w:r w:rsidR="009B1CA2">
        <w:rPr>
          <w:rFonts w:ascii="Futura Lt BT" w:hAnsi="Futura Lt BT" w:cs="Courier New"/>
          <w:sz w:val="24"/>
          <w:szCs w:val="24"/>
          <w:lang w:val="es-MX"/>
        </w:rPr>
        <w:t>; e</w:t>
      </w:r>
      <w:r w:rsidR="00E22F00" w:rsidRPr="00861854">
        <w:rPr>
          <w:rFonts w:ascii="Futura Lt BT" w:hAnsi="Futura Lt BT" w:cs="Courier New"/>
          <w:sz w:val="24"/>
          <w:szCs w:val="24"/>
          <w:lang w:val="es-MX"/>
        </w:rPr>
        <w:t>n tanto, en el semestre totalizaron 285.3 millones</w:t>
      </w:r>
      <w:r w:rsidR="00533429">
        <w:rPr>
          <w:rFonts w:ascii="Futura Lt BT" w:hAnsi="Futura Lt BT" w:cs="Courier New"/>
          <w:sz w:val="24"/>
          <w:szCs w:val="24"/>
          <w:lang w:val="es-MX"/>
        </w:rPr>
        <w:t xml:space="preserve"> de dólares</w:t>
      </w:r>
      <w:r w:rsidR="00E22F00" w:rsidRPr="00861854">
        <w:rPr>
          <w:rFonts w:ascii="Futura Lt BT" w:hAnsi="Futura Lt BT" w:cs="Courier New"/>
          <w:sz w:val="24"/>
          <w:szCs w:val="24"/>
          <w:lang w:val="es-MX"/>
        </w:rPr>
        <w:t xml:space="preserve">, </w:t>
      </w:r>
      <w:r w:rsidR="00854A0E">
        <w:rPr>
          <w:rFonts w:ascii="Futura Lt BT" w:hAnsi="Futura Lt BT" w:cs="Courier New"/>
          <w:sz w:val="24"/>
          <w:szCs w:val="24"/>
          <w:lang w:val="es-MX"/>
        </w:rPr>
        <w:t xml:space="preserve">para </w:t>
      </w:r>
      <w:r w:rsidR="00E22F00" w:rsidRPr="00861854">
        <w:rPr>
          <w:rFonts w:ascii="Futura Lt BT" w:hAnsi="Futura Lt BT" w:cs="Courier New"/>
          <w:sz w:val="24"/>
          <w:szCs w:val="24"/>
          <w:lang w:val="es-MX"/>
        </w:rPr>
        <w:t>un aumento de 10.2 por ciento, con respecto al mismo per</w:t>
      </w:r>
      <w:r w:rsidR="00CA7029" w:rsidRPr="00861854">
        <w:rPr>
          <w:rFonts w:ascii="Futura Lt BT" w:hAnsi="Futura Lt BT" w:cs="Courier New"/>
          <w:sz w:val="24"/>
          <w:szCs w:val="24"/>
          <w:lang w:val="es-MX"/>
        </w:rPr>
        <w:t>í</w:t>
      </w:r>
      <w:r w:rsidR="00E22F00" w:rsidRPr="00861854">
        <w:rPr>
          <w:rFonts w:ascii="Futura Lt BT" w:hAnsi="Futura Lt BT" w:cs="Courier New"/>
          <w:sz w:val="24"/>
          <w:szCs w:val="24"/>
          <w:lang w:val="es-MX"/>
        </w:rPr>
        <w:t>odo del año pasado.</w:t>
      </w:r>
    </w:p>
    <w:p w:rsidR="00876708" w:rsidRPr="00861854" w:rsidRDefault="00876708" w:rsidP="00F6744B">
      <w:pPr>
        <w:spacing w:after="0" w:line="276" w:lineRule="auto"/>
        <w:jc w:val="both"/>
        <w:rPr>
          <w:rFonts w:ascii="Futura Lt BT" w:hAnsi="Futura Lt BT" w:cs="Courier New"/>
          <w:sz w:val="24"/>
          <w:szCs w:val="24"/>
          <w:lang w:val="es-MX"/>
        </w:rPr>
      </w:pPr>
    </w:p>
    <w:p w:rsidR="00F6744B" w:rsidRPr="00861854" w:rsidRDefault="00876708" w:rsidP="00F6744B">
      <w:pPr>
        <w:spacing w:after="0" w:line="276" w:lineRule="auto"/>
        <w:jc w:val="both"/>
        <w:rPr>
          <w:rFonts w:ascii="Futura Lt BT" w:hAnsi="Futura Lt BT" w:cs="Courier New"/>
          <w:sz w:val="24"/>
          <w:szCs w:val="24"/>
          <w:lang w:val="es-MX"/>
        </w:rPr>
      </w:pPr>
      <w:r w:rsidRPr="00861854">
        <w:rPr>
          <w:rFonts w:ascii="Futura Lt BT" w:hAnsi="Futura Lt BT" w:cs="Courier New"/>
          <w:sz w:val="24"/>
          <w:szCs w:val="24"/>
          <w:lang w:val="es-MX"/>
        </w:rPr>
        <w:t>Por su parte,</w:t>
      </w:r>
      <w:r w:rsidR="00000223" w:rsidRPr="00861854">
        <w:rPr>
          <w:rFonts w:ascii="Futura Lt BT" w:hAnsi="Futura Lt BT" w:cs="Courier New"/>
          <w:sz w:val="24"/>
          <w:szCs w:val="24"/>
          <w:lang w:val="es-MX"/>
        </w:rPr>
        <w:t xml:space="preserve"> </w:t>
      </w:r>
      <w:r w:rsidRPr="00861854">
        <w:rPr>
          <w:rFonts w:ascii="Futura Lt BT" w:hAnsi="Futura Lt BT" w:cs="Courier New"/>
          <w:sz w:val="24"/>
          <w:szCs w:val="24"/>
          <w:lang w:val="es-MX"/>
        </w:rPr>
        <w:t>l</w:t>
      </w:r>
      <w:r w:rsidR="00B17336" w:rsidRPr="00861854">
        <w:rPr>
          <w:rFonts w:ascii="Futura Lt BT" w:hAnsi="Futura Lt BT" w:cs="Courier New"/>
          <w:sz w:val="24"/>
          <w:szCs w:val="24"/>
          <w:lang w:val="es-MX"/>
        </w:rPr>
        <w:t>as remesas continuaron con su dina</w:t>
      </w:r>
      <w:bookmarkStart w:id="0" w:name="_GoBack"/>
      <w:bookmarkEnd w:id="0"/>
      <w:r w:rsidR="00B17336" w:rsidRPr="00861854">
        <w:rPr>
          <w:rFonts w:ascii="Futura Lt BT" w:hAnsi="Futura Lt BT" w:cs="Courier New"/>
          <w:sz w:val="24"/>
          <w:szCs w:val="24"/>
          <w:lang w:val="es-MX"/>
        </w:rPr>
        <w:t xml:space="preserve">mismo creciente, al registrarse </w:t>
      </w:r>
      <w:r w:rsidR="00192F52" w:rsidRPr="00861854">
        <w:rPr>
          <w:rFonts w:ascii="Futura Lt BT" w:hAnsi="Futura Lt BT" w:cs="Courier New"/>
          <w:sz w:val="24"/>
          <w:szCs w:val="24"/>
          <w:lang w:val="es-MX"/>
        </w:rPr>
        <w:t xml:space="preserve">en el trimestre </w:t>
      </w:r>
      <w:r w:rsidR="00B17336" w:rsidRPr="00861854">
        <w:rPr>
          <w:rFonts w:ascii="Futura Lt BT" w:hAnsi="Futura Lt BT" w:cs="Courier New"/>
          <w:sz w:val="24"/>
          <w:szCs w:val="24"/>
          <w:lang w:val="es-MX"/>
        </w:rPr>
        <w:t xml:space="preserve">ingresos por 1,194.7 millones de dólares, mayores en 54.5 por ciento en términos </w:t>
      </w:r>
      <w:r w:rsidRPr="00861854">
        <w:rPr>
          <w:rFonts w:ascii="Futura Lt BT" w:hAnsi="Futura Lt BT" w:cs="Courier New"/>
          <w:sz w:val="24"/>
          <w:szCs w:val="24"/>
          <w:lang w:val="es-MX"/>
        </w:rPr>
        <w:t>interanuales</w:t>
      </w:r>
      <w:r w:rsidR="00192F52" w:rsidRPr="00861854">
        <w:rPr>
          <w:rFonts w:ascii="Futura Lt BT" w:hAnsi="Futura Lt BT" w:cs="Courier New"/>
          <w:sz w:val="24"/>
          <w:szCs w:val="24"/>
          <w:lang w:val="es-MX"/>
        </w:rPr>
        <w:t xml:space="preserve">; con lo cual se acumuló </w:t>
      </w:r>
      <w:r w:rsidRPr="00861854">
        <w:rPr>
          <w:rFonts w:ascii="Futura Lt BT" w:hAnsi="Futura Lt BT" w:cs="Courier New"/>
          <w:sz w:val="24"/>
          <w:szCs w:val="24"/>
          <w:lang w:val="es-MX"/>
        </w:rPr>
        <w:t xml:space="preserve">en el </w:t>
      </w:r>
      <w:r w:rsidR="00533429">
        <w:rPr>
          <w:rFonts w:ascii="Futura Lt BT" w:hAnsi="Futura Lt BT" w:cs="Courier New"/>
          <w:sz w:val="24"/>
          <w:szCs w:val="24"/>
          <w:lang w:val="es-MX"/>
        </w:rPr>
        <w:t xml:space="preserve">primer </w:t>
      </w:r>
      <w:r w:rsidRPr="00861854">
        <w:rPr>
          <w:rFonts w:ascii="Futura Lt BT" w:hAnsi="Futura Lt BT" w:cs="Courier New"/>
          <w:sz w:val="24"/>
          <w:szCs w:val="24"/>
          <w:lang w:val="es-MX"/>
        </w:rPr>
        <w:t xml:space="preserve">semestre 2,215.0 millones </w:t>
      </w:r>
      <w:r w:rsidR="00192F52" w:rsidRPr="00861854">
        <w:rPr>
          <w:rFonts w:ascii="Futura Lt BT" w:hAnsi="Futura Lt BT" w:cs="Courier New"/>
          <w:sz w:val="24"/>
          <w:szCs w:val="24"/>
          <w:lang w:val="es-MX"/>
        </w:rPr>
        <w:t xml:space="preserve">para un aumento de </w:t>
      </w:r>
      <w:r w:rsidRPr="00861854">
        <w:rPr>
          <w:rFonts w:ascii="Futura Lt BT" w:hAnsi="Futura Lt BT" w:cs="Courier New"/>
          <w:sz w:val="24"/>
          <w:szCs w:val="24"/>
          <w:lang w:val="es-MX"/>
        </w:rPr>
        <w:t>58.6</w:t>
      </w:r>
      <w:r w:rsidR="00192F52" w:rsidRPr="00861854">
        <w:rPr>
          <w:rFonts w:ascii="Futura Lt BT" w:hAnsi="Futura Lt BT" w:cs="Courier New"/>
          <w:sz w:val="24"/>
          <w:szCs w:val="24"/>
          <w:lang w:val="es-MX"/>
        </w:rPr>
        <w:t xml:space="preserve"> por ciento.</w:t>
      </w:r>
    </w:p>
    <w:p w:rsidR="00B17336" w:rsidRPr="00861854" w:rsidRDefault="00B17336" w:rsidP="00F6744B">
      <w:pPr>
        <w:spacing w:after="0" w:line="276" w:lineRule="auto"/>
        <w:jc w:val="both"/>
        <w:rPr>
          <w:rFonts w:ascii="Futura Lt BT" w:hAnsi="Futura Lt BT" w:cs="Courier New"/>
          <w:sz w:val="24"/>
          <w:szCs w:val="24"/>
          <w:lang w:val="es-MX"/>
        </w:rPr>
      </w:pPr>
    </w:p>
    <w:p w:rsidR="002C6677" w:rsidRPr="00861854" w:rsidRDefault="00B17336" w:rsidP="00F6744B">
      <w:pPr>
        <w:spacing w:after="0" w:line="276" w:lineRule="auto"/>
        <w:jc w:val="both"/>
        <w:rPr>
          <w:rFonts w:ascii="Futura Lt BT" w:hAnsi="Futura Lt BT" w:cs="Courier New"/>
          <w:sz w:val="24"/>
          <w:szCs w:val="24"/>
          <w:lang w:val="es-MX"/>
        </w:rPr>
      </w:pPr>
      <w:r w:rsidRPr="00861854">
        <w:rPr>
          <w:rFonts w:ascii="Futura Lt BT" w:hAnsi="Futura Lt BT" w:cs="Courier New"/>
          <w:sz w:val="24"/>
          <w:szCs w:val="24"/>
          <w:lang w:val="es-MX"/>
        </w:rPr>
        <w:t>En</w:t>
      </w:r>
      <w:r w:rsidR="008A74AE" w:rsidRPr="00861854">
        <w:rPr>
          <w:rFonts w:ascii="Futura Lt BT" w:hAnsi="Futura Lt BT" w:cs="Courier New"/>
          <w:sz w:val="24"/>
          <w:szCs w:val="24"/>
          <w:lang w:val="es-MX"/>
        </w:rPr>
        <w:t>tre</w:t>
      </w:r>
      <w:r w:rsidRPr="00861854">
        <w:rPr>
          <w:rFonts w:ascii="Futura Lt BT" w:hAnsi="Futura Lt BT" w:cs="Courier New"/>
          <w:sz w:val="24"/>
          <w:szCs w:val="24"/>
          <w:lang w:val="es-MX"/>
        </w:rPr>
        <w:t xml:space="preserve"> los movimientos de capital y financieros en la balanza de pagos, </w:t>
      </w:r>
      <w:r w:rsidR="00192F52" w:rsidRPr="00861854">
        <w:rPr>
          <w:rFonts w:ascii="Futura Lt BT" w:hAnsi="Futura Lt BT" w:cs="Courier New"/>
          <w:sz w:val="24"/>
          <w:szCs w:val="24"/>
          <w:lang w:val="es-MX"/>
        </w:rPr>
        <w:t xml:space="preserve">en el trimestre </w:t>
      </w:r>
      <w:r w:rsidR="008A74AE" w:rsidRPr="00861854">
        <w:rPr>
          <w:rFonts w:ascii="Futura Lt BT" w:hAnsi="Futura Lt BT" w:cs="Courier New"/>
          <w:sz w:val="24"/>
          <w:szCs w:val="24"/>
          <w:lang w:val="es-MX"/>
        </w:rPr>
        <w:t>se destac</w:t>
      </w:r>
      <w:r w:rsidR="00192F52" w:rsidRPr="00861854">
        <w:rPr>
          <w:rFonts w:ascii="Futura Lt BT" w:hAnsi="Futura Lt BT" w:cs="Courier New"/>
          <w:sz w:val="24"/>
          <w:szCs w:val="24"/>
          <w:lang w:val="es-MX"/>
        </w:rPr>
        <w:t xml:space="preserve">ó </w:t>
      </w:r>
      <w:r w:rsidR="008A74AE" w:rsidRPr="00861854">
        <w:rPr>
          <w:rFonts w:ascii="Futura Lt BT" w:hAnsi="Futura Lt BT" w:cs="Courier New"/>
          <w:sz w:val="24"/>
          <w:szCs w:val="24"/>
          <w:lang w:val="es-MX"/>
        </w:rPr>
        <w:t xml:space="preserve">el </w:t>
      </w:r>
      <w:r w:rsidRPr="00861854">
        <w:rPr>
          <w:rFonts w:ascii="Futura Lt BT" w:hAnsi="Futura Lt BT" w:cs="Courier New"/>
          <w:sz w:val="24"/>
          <w:szCs w:val="24"/>
          <w:lang w:val="es-MX"/>
        </w:rPr>
        <w:t xml:space="preserve">ingreso </w:t>
      </w:r>
      <w:r w:rsidR="008A74AE" w:rsidRPr="00861854">
        <w:rPr>
          <w:rFonts w:ascii="Futura Lt BT" w:hAnsi="Futura Lt BT" w:cs="Courier New"/>
          <w:sz w:val="24"/>
          <w:szCs w:val="24"/>
          <w:lang w:val="es-MX"/>
        </w:rPr>
        <w:t>bruto de inversión extranjera directa (IED) de 614.1 millones de dólares, los cuales reflejaron un incremento de 22.5 por ciento con respecto a igual per</w:t>
      </w:r>
      <w:r w:rsidR="00CA7029" w:rsidRPr="00861854">
        <w:rPr>
          <w:rFonts w:ascii="Futura Lt BT" w:hAnsi="Futura Lt BT" w:cs="Courier New"/>
          <w:sz w:val="24"/>
          <w:szCs w:val="24"/>
          <w:lang w:val="es-MX"/>
        </w:rPr>
        <w:t>í</w:t>
      </w:r>
      <w:r w:rsidR="008A74AE" w:rsidRPr="00861854">
        <w:rPr>
          <w:rFonts w:ascii="Futura Lt BT" w:hAnsi="Futura Lt BT" w:cs="Courier New"/>
          <w:sz w:val="24"/>
          <w:szCs w:val="24"/>
          <w:lang w:val="es-MX"/>
        </w:rPr>
        <w:t>odo de 2022 (US$501.4 millones)</w:t>
      </w:r>
      <w:r w:rsidR="00192F52" w:rsidRPr="00861854">
        <w:rPr>
          <w:rFonts w:ascii="Futura Lt BT" w:hAnsi="Futura Lt BT" w:cs="Courier New"/>
          <w:sz w:val="24"/>
          <w:szCs w:val="24"/>
          <w:lang w:val="es-MX"/>
        </w:rPr>
        <w:t xml:space="preserve">; y que en acumulado en el semestre ascendieron a </w:t>
      </w:r>
      <w:r w:rsidR="002C6677" w:rsidRPr="00861854">
        <w:rPr>
          <w:rFonts w:ascii="Futura Lt BT" w:hAnsi="Futura Lt BT" w:cs="Courier New"/>
          <w:sz w:val="24"/>
          <w:szCs w:val="24"/>
          <w:lang w:val="es-MX"/>
        </w:rPr>
        <w:t>1,447.0 millones de dólares</w:t>
      </w:r>
      <w:r w:rsidR="00192F52" w:rsidRPr="00861854">
        <w:rPr>
          <w:rFonts w:ascii="Futura Lt BT" w:hAnsi="Futura Lt BT" w:cs="Courier New"/>
          <w:sz w:val="24"/>
          <w:szCs w:val="24"/>
          <w:lang w:val="es-MX"/>
        </w:rPr>
        <w:t xml:space="preserve">, para un aumento de </w:t>
      </w:r>
      <w:r w:rsidR="002C6677" w:rsidRPr="00861854">
        <w:rPr>
          <w:rFonts w:ascii="Futura Lt BT" w:hAnsi="Futura Lt BT" w:cs="Courier New"/>
          <w:sz w:val="24"/>
          <w:szCs w:val="24"/>
          <w:lang w:val="es-MX"/>
        </w:rPr>
        <w:t>28.9</w:t>
      </w:r>
      <w:r w:rsidR="00192F52" w:rsidRPr="00861854">
        <w:rPr>
          <w:rFonts w:ascii="Futura Lt BT" w:hAnsi="Futura Lt BT" w:cs="Courier New"/>
          <w:sz w:val="24"/>
          <w:szCs w:val="24"/>
          <w:lang w:val="es-MX"/>
        </w:rPr>
        <w:t xml:space="preserve"> por ciento en términos </w:t>
      </w:r>
      <w:r w:rsidR="002C6677" w:rsidRPr="00861854">
        <w:rPr>
          <w:rFonts w:ascii="Futura Lt BT" w:hAnsi="Futura Lt BT" w:cs="Courier New"/>
          <w:sz w:val="24"/>
          <w:szCs w:val="24"/>
          <w:lang w:val="es-MX"/>
        </w:rPr>
        <w:t>interanual</w:t>
      </w:r>
      <w:r w:rsidR="00192F52" w:rsidRPr="00861854">
        <w:rPr>
          <w:rFonts w:ascii="Futura Lt BT" w:hAnsi="Futura Lt BT" w:cs="Courier New"/>
          <w:sz w:val="24"/>
          <w:szCs w:val="24"/>
          <w:lang w:val="es-MX"/>
        </w:rPr>
        <w:t>es</w:t>
      </w:r>
      <w:r w:rsidR="002C6677" w:rsidRPr="00861854">
        <w:rPr>
          <w:rFonts w:ascii="Futura Lt BT" w:hAnsi="Futura Lt BT" w:cs="Courier New"/>
          <w:sz w:val="24"/>
          <w:szCs w:val="24"/>
          <w:lang w:val="es-MX"/>
        </w:rPr>
        <w:t>. Adicionalmente</w:t>
      </w:r>
      <w:r w:rsidR="008A74AE" w:rsidRPr="00861854">
        <w:rPr>
          <w:rFonts w:ascii="Futura Lt BT" w:hAnsi="Futura Lt BT" w:cs="Courier New"/>
          <w:sz w:val="24"/>
          <w:szCs w:val="24"/>
          <w:lang w:val="es-MX"/>
        </w:rPr>
        <w:t xml:space="preserve">, la economía percibió desembolsos netos de 7.3 millones de dólares </w:t>
      </w:r>
      <w:r w:rsidR="00192F52" w:rsidRPr="00861854">
        <w:rPr>
          <w:rFonts w:ascii="Futura Lt BT" w:hAnsi="Futura Lt BT" w:cs="Courier New"/>
          <w:sz w:val="24"/>
          <w:szCs w:val="24"/>
          <w:lang w:val="es-MX"/>
        </w:rPr>
        <w:t xml:space="preserve">en segundo trimestre </w:t>
      </w:r>
      <w:r w:rsidR="008A74AE" w:rsidRPr="00861854">
        <w:rPr>
          <w:rFonts w:ascii="Futura Lt BT" w:hAnsi="Futura Lt BT" w:cs="Courier New"/>
          <w:sz w:val="24"/>
          <w:szCs w:val="24"/>
          <w:lang w:val="es-MX"/>
        </w:rPr>
        <w:t xml:space="preserve">(US$55.3 millones en </w:t>
      </w:r>
      <w:r w:rsidR="00192F52" w:rsidRPr="00861854">
        <w:rPr>
          <w:rFonts w:ascii="Futura Lt BT" w:hAnsi="Futura Lt BT" w:cs="Courier New"/>
          <w:sz w:val="24"/>
          <w:szCs w:val="24"/>
          <w:lang w:val="es-MX"/>
        </w:rPr>
        <w:t>igual periodo de</w:t>
      </w:r>
      <w:r w:rsidR="008A74AE" w:rsidRPr="00861854">
        <w:rPr>
          <w:rFonts w:ascii="Futura Lt BT" w:hAnsi="Futura Lt BT" w:cs="Courier New"/>
          <w:sz w:val="24"/>
          <w:szCs w:val="24"/>
          <w:lang w:val="es-MX"/>
        </w:rPr>
        <w:t xml:space="preserve"> 2022), como resultado del registro de 302.7 millones de dólares en concepto de desembolsos (excluyendo créditos comerciales), y pago de amortizaciones de 301.8 millones de dólares, entre otros ajustes devengados. </w:t>
      </w:r>
      <w:r w:rsidR="006B2AC5" w:rsidRPr="00861854">
        <w:rPr>
          <w:rFonts w:ascii="Futura Lt BT" w:hAnsi="Futura Lt BT" w:cs="Courier New"/>
          <w:sz w:val="24"/>
          <w:szCs w:val="24"/>
          <w:lang w:val="es-MX"/>
        </w:rPr>
        <w:t xml:space="preserve">En cambio, en el semestre se registró amortizaciones netas de deuda externa de </w:t>
      </w:r>
      <w:r w:rsidR="002967CD" w:rsidRPr="00861854">
        <w:rPr>
          <w:rFonts w:ascii="Futura Lt BT" w:hAnsi="Futura Lt BT" w:cs="Courier New"/>
          <w:sz w:val="24"/>
          <w:szCs w:val="24"/>
          <w:lang w:val="es-MX"/>
        </w:rPr>
        <w:t>64.6 millones de dólares</w:t>
      </w:r>
      <w:r w:rsidR="007B69DA" w:rsidRPr="00861854">
        <w:rPr>
          <w:rFonts w:ascii="Futura Lt BT" w:hAnsi="Futura Lt BT" w:cs="Courier New"/>
          <w:sz w:val="24"/>
          <w:szCs w:val="24"/>
          <w:lang w:val="es-MX"/>
        </w:rPr>
        <w:t xml:space="preserve">; mientras que en igual periodo de 2022 se registró </w:t>
      </w:r>
      <w:r w:rsidR="006B2AC5" w:rsidRPr="00861854">
        <w:rPr>
          <w:rFonts w:ascii="Futura Lt BT" w:hAnsi="Futura Lt BT" w:cs="Courier New"/>
          <w:sz w:val="24"/>
          <w:szCs w:val="24"/>
          <w:lang w:val="es-MX"/>
        </w:rPr>
        <w:t>desembolsos netos de 35.1 millones de dólares.</w:t>
      </w:r>
      <w:r w:rsidR="002C6677" w:rsidRPr="00861854">
        <w:rPr>
          <w:rFonts w:ascii="Futura Lt BT" w:hAnsi="Futura Lt BT" w:cs="Courier New"/>
          <w:sz w:val="24"/>
          <w:szCs w:val="24"/>
          <w:lang w:val="es-MX"/>
        </w:rPr>
        <w:t xml:space="preserve"> </w:t>
      </w:r>
    </w:p>
    <w:p w:rsidR="003D4B24" w:rsidRPr="00861854" w:rsidRDefault="003D4B24" w:rsidP="00F6744B">
      <w:pPr>
        <w:spacing w:after="0" w:line="276" w:lineRule="auto"/>
        <w:jc w:val="both"/>
        <w:rPr>
          <w:rFonts w:ascii="Futura Lt BT" w:hAnsi="Futura Lt BT" w:cs="Courier New"/>
          <w:sz w:val="24"/>
          <w:szCs w:val="24"/>
          <w:lang w:val="es-MX"/>
        </w:rPr>
      </w:pPr>
    </w:p>
    <w:p w:rsidR="00B17336" w:rsidRPr="00861854" w:rsidRDefault="008A74AE" w:rsidP="00F6744B">
      <w:pPr>
        <w:spacing w:after="0" w:line="276" w:lineRule="auto"/>
        <w:jc w:val="both"/>
        <w:rPr>
          <w:rFonts w:ascii="Futura Lt BT" w:hAnsi="Futura Lt BT" w:cs="Arial"/>
          <w:color w:val="050505"/>
        </w:rPr>
      </w:pPr>
      <w:r w:rsidRPr="00861854">
        <w:rPr>
          <w:rFonts w:ascii="Futura Lt BT" w:hAnsi="Futura Lt BT" w:cs="Courier New"/>
          <w:sz w:val="24"/>
          <w:szCs w:val="24"/>
          <w:lang w:val="es-MX"/>
        </w:rPr>
        <w:t xml:space="preserve">Por su parte, </w:t>
      </w:r>
      <w:r w:rsidR="00351D97" w:rsidRPr="00351D97">
        <w:rPr>
          <w:rFonts w:ascii="Futura Lt BT" w:hAnsi="Futura Lt BT" w:cs="Courier New"/>
          <w:sz w:val="24"/>
          <w:szCs w:val="24"/>
          <w:lang w:val="es-MX"/>
        </w:rPr>
        <w:t xml:space="preserve">en el trimestre se registró aumento de 103.2 millones de dólares en el saldo de depósitos en el exterior de las instituciones financieras; y de 94.0 millones en </w:t>
      </w:r>
      <w:r w:rsidR="00351D97">
        <w:rPr>
          <w:rFonts w:ascii="Futura Lt BT" w:hAnsi="Futura Lt BT" w:cs="Courier New"/>
          <w:sz w:val="24"/>
          <w:szCs w:val="24"/>
          <w:lang w:val="es-MX"/>
        </w:rPr>
        <w:t xml:space="preserve">los </w:t>
      </w:r>
      <w:r w:rsidR="00351D97" w:rsidRPr="00351D97">
        <w:rPr>
          <w:rFonts w:ascii="Futura Lt BT" w:hAnsi="Futura Lt BT" w:cs="Courier New"/>
          <w:sz w:val="24"/>
          <w:szCs w:val="24"/>
          <w:lang w:val="es-MX"/>
        </w:rPr>
        <w:t>depósitos del sector privado no financiero</w:t>
      </w:r>
      <w:r w:rsidR="00426C71" w:rsidRPr="00861854">
        <w:rPr>
          <w:rFonts w:ascii="Futura Lt BT" w:hAnsi="Futura Lt BT" w:cs="Courier New"/>
          <w:sz w:val="24"/>
          <w:szCs w:val="24"/>
          <w:lang w:val="es-MX"/>
        </w:rPr>
        <w:t>. En términos acumulados</w:t>
      </w:r>
      <w:r w:rsidR="004F1A6A" w:rsidRPr="00861854">
        <w:rPr>
          <w:rFonts w:ascii="Futura Lt BT" w:hAnsi="Futura Lt BT" w:cs="Courier New"/>
          <w:sz w:val="24"/>
          <w:szCs w:val="24"/>
          <w:lang w:val="es-MX"/>
        </w:rPr>
        <w:t>,</w:t>
      </w:r>
      <w:r w:rsidR="00426C71" w:rsidRPr="00861854">
        <w:rPr>
          <w:rFonts w:ascii="Futura Lt BT" w:hAnsi="Futura Lt BT" w:cs="Courier New"/>
          <w:sz w:val="24"/>
          <w:szCs w:val="24"/>
          <w:lang w:val="es-MX"/>
        </w:rPr>
        <w:t xml:space="preserve"> </w:t>
      </w:r>
      <w:r w:rsidR="006B2AC5" w:rsidRPr="00861854">
        <w:rPr>
          <w:rFonts w:ascii="Futura Lt BT" w:hAnsi="Futura Lt BT" w:cs="Courier New"/>
          <w:sz w:val="24"/>
          <w:szCs w:val="24"/>
          <w:lang w:val="es-MX"/>
        </w:rPr>
        <w:t xml:space="preserve">los </w:t>
      </w:r>
      <w:r w:rsidR="00426C71" w:rsidRPr="00861854">
        <w:rPr>
          <w:rFonts w:ascii="Futura Lt BT" w:hAnsi="Futura Lt BT" w:cs="Courier New"/>
          <w:sz w:val="24"/>
          <w:szCs w:val="24"/>
          <w:lang w:val="es-MX"/>
        </w:rPr>
        <w:t>depósitos</w:t>
      </w:r>
      <w:r w:rsidR="006B2AC5" w:rsidRPr="00861854">
        <w:rPr>
          <w:rFonts w:ascii="Futura Lt BT" w:hAnsi="Futura Lt BT" w:cs="Courier New"/>
          <w:sz w:val="24"/>
          <w:szCs w:val="24"/>
          <w:lang w:val="es-MX"/>
        </w:rPr>
        <w:t xml:space="preserve"> de las instituciones financieras disminuyeron en</w:t>
      </w:r>
      <w:r w:rsidR="00426C71" w:rsidRPr="00861854">
        <w:rPr>
          <w:rFonts w:ascii="Futura Lt BT" w:hAnsi="Futura Lt BT" w:cs="Courier New"/>
          <w:sz w:val="24"/>
          <w:szCs w:val="24"/>
          <w:lang w:val="es-MX"/>
        </w:rPr>
        <w:t xml:space="preserve"> 20.4 millones de dólares</w:t>
      </w:r>
      <w:r w:rsidR="006B2AC5" w:rsidRPr="00861854">
        <w:rPr>
          <w:rFonts w:ascii="Futura Lt BT" w:hAnsi="Futura Lt BT" w:cs="Courier New"/>
          <w:sz w:val="24"/>
          <w:szCs w:val="24"/>
          <w:lang w:val="es-MX"/>
        </w:rPr>
        <w:t xml:space="preserve">; </w:t>
      </w:r>
      <w:r w:rsidR="004B26D4">
        <w:rPr>
          <w:rFonts w:ascii="Futura Lt BT" w:hAnsi="Futura Lt BT" w:cs="Courier New"/>
          <w:sz w:val="24"/>
          <w:szCs w:val="24"/>
          <w:lang w:val="es-MX"/>
        </w:rPr>
        <w:t xml:space="preserve">y </w:t>
      </w:r>
      <w:r w:rsidR="006B2AC5" w:rsidRPr="00861854">
        <w:rPr>
          <w:rFonts w:ascii="Futura Lt BT" w:hAnsi="Futura Lt BT" w:cs="Courier New"/>
          <w:sz w:val="24"/>
          <w:szCs w:val="24"/>
          <w:lang w:val="es-MX"/>
        </w:rPr>
        <w:t xml:space="preserve">los depósitos del sector privado no financiero </w:t>
      </w:r>
      <w:r w:rsidR="004B26D4">
        <w:rPr>
          <w:rFonts w:ascii="Futura Lt BT" w:hAnsi="Futura Lt BT" w:cs="Courier New"/>
          <w:sz w:val="24"/>
          <w:szCs w:val="24"/>
          <w:lang w:val="es-MX"/>
        </w:rPr>
        <w:t xml:space="preserve">aumentaron en </w:t>
      </w:r>
      <w:r w:rsidR="006A17B4" w:rsidRPr="00861854">
        <w:rPr>
          <w:rFonts w:ascii="Futura Lt BT" w:hAnsi="Futura Lt BT" w:cs="Courier New"/>
          <w:sz w:val="24"/>
          <w:szCs w:val="24"/>
          <w:lang w:val="es-MX"/>
        </w:rPr>
        <w:t>58</w:t>
      </w:r>
      <w:r w:rsidR="007D1884" w:rsidRPr="00861854">
        <w:rPr>
          <w:rFonts w:ascii="Futura Lt BT" w:hAnsi="Futura Lt BT" w:cs="Courier New"/>
          <w:sz w:val="24"/>
          <w:szCs w:val="24"/>
          <w:lang w:val="es-MX"/>
        </w:rPr>
        <w:t>.0</w:t>
      </w:r>
      <w:r w:rsidR="006A17B4" w:rsidRPr="00861854">
        <w:rPr>
          <w:rFonts w:ascii="Futura Lt BT" w:hAnsi="Futura Lt BT" w:cs="Courier New"/>
          <w:sz w:val="24"/>
          <w:szCs w:val="24"/>
          <w:lang w:val="es-MX"/>
        </w:rPr>
        <w:t xml:space="preserve"> millones</w:t>
      </w:r>
      <w:r w:rsidR="006B2AC5" w:rsidRPr="00861854">
        <w:rPr>
          <w:rFonts w:ascii="Futura Lt BT" w:hAnsi="Futura Lt BT" w:cs="Courier New"/>
          <w:sz w:val="24"/>
          <w:szCs w:val="24"/>
          <w:lang w:val="es-MX"/>
        </w:rPr>
        <w:t xml:space="preserve">. </w:t>
      </w:r>
      <w:r w:rsidR="004B26D4">
        <w:rPr>
          <w:rFonts w:ascii="Futura Lt BT" w:hAnsi="Futura Lt BT" w:cs="Courier New"/>
          <w:sz w:val="24"/>
          <w:szCs w:val="24"/>
          <w:lang w:val="es-MX"/>
        </w:rPr>
        <w:t xml:space="preserve">Mientras tanto, </w:t>
      </w:r>
      <w:r w:rsidRPr="00861854">
        <w:rPr>
          <w:rFonts w:ascii="Futura Lt BT" w:hAnsi="Futura Lt BT" w:cs="Arial"/>
          <w:color w:val="050505"/>
        </w:rPr>
        <w:t xml:space="preserve">los activos de </w:t>
      </w:r>
      <w:r w:rsidRPr="00861854">
        <w:rPr>
          <w:rFonts w:ascii="Futura Lt BT" w:hAnsi="Futura Lt BT" w:cs="Arial"/>
          <w:color w:val="050505"/>
        </w:rPr>
        <w:lastRenderedPageBreak/>
        <w:t xml:space="preserve">reserva del BCN </w:t>
      </w:r>
      <w:r w:rsidR="0035079B" w:rsidRPr="00861854">
        <w:rPr>
          <w:rFonts w:ascii="Futura Lt BT" w:hAnsi="Futura Lt BT" w:cs="Arial"/>
          <w:color w:val="050505"/>
        </w:rPr>
        <w:t xml:space="preserve">aumentaron en </w:t>
      </w:r>
      <w:r w:rsidRPr="00861854">
        <w:rPr>
          <w:rFonts w:ascii="Futura Lt BT" w:hAnsi="Futura Lt BT" w:cs="Arial"/>
          <w:color w:val="050505"/>
        </w:rPr>
        <w:t xml:space="preserve">134.3 </w:t>
      </w:r>
      <w:r w:rsidR="006A17B4" w:rsidRPr="00861854">
        <w:rPr>
          <w:rFonts w:ascii="Futura Lt BT" w:hAnsi="Futura Lt BT" w:cs="Arial"/>
          <w:color w:val="050505"/>
        </w:rPr>
        <w:t>millones</w:t>
      </w:r>
      <w:r w:rsidR="006B2AC5" w:rsidRPr="00861854">
        <w:rPr>
          <w:rFonts w:ascii="Futura Lt BT" w:hAnsi="Futura Lt BT" w:cs="Arial"/>
          <w:color w:val="050505"/>
        </w:rPr>
        <w:t xml:space="preserve"> de dólares</w:t>
      </w:r>
      <w:r w:rsidR="006A17B4" w:rsidRPr="00861854">
        <w:rPr>
          <w:rFonts w:ascii="Futura Lt BT" w:hAnsi="Futura Lt BT" w:cs="Arial"/>
          <w:color w:val="050505"/>
        </w:rPr>
        <w:t xml:space="preserve"> en el trimestre </w:t>
      </w:r>
      <w:r w:rsidRPr="00861854">
        <w:rPr>
          <w:rFonts w:ascii="Futura Lt BT" w:hAnsi="Futura Lt BT" w:cs="Arial"/>
          <w:color w:val="050505"/>
        </w:rPr>
        <w:t>(US$135.3 millones en RIB)</w:t>
      </w:r>
      <w:r w:rsidR="006A17B4" w:rsidRPr="00861854">
        <w:rPr>
          <w:rFonts w:ascii="Futura Lt BT" w:hAnsi="Futura Lt BT" w:cs="Arial"/>
          <w:color w:val="050505"/>
        </w:rPr>
        <w:t xml:space="preserve"> y </w:t>
      </w:r>
      <w:r w:rsidR="006B2AC5" w:rsidRPr="00861854">
        <w:rPr>
          <w:rFonts w:ascii="Futura Lt BT" w:hAnsi="Futura Lt BT" w:cs="Arial"/>
          <w:color w:val="050505"/>
        </w:rPr>
        <w:t xml:space="preserve">en </w:t>
      </w:r>
      <w:r w:rsidR="006A17B4" w:rsidRPr="00861854">
        <w:rPr>
          <w:rFonts w:ascii="Futura Lt BT" w:hAnsi="Futura Lt BT" w:cs="Arial"/>
          <w:color w:val="050505"/>
        </w:rPr>
        <w:t xml:space="preserve">572.6 millones </w:t>
      </w:r>
      <w:r w:rsidR="006B2AC5" w:rsidRPr="00861854">
        <w:rPr>
          <w:rFonts w:ascii="Futura Lt BT" w:hAnsi="Futura Lt BT" w:cs="Arial"/>
          <w:color w:val="050505"/>
        </w:rPr>
        <w:t>en el periodo ene-</w:t>
      </w:r>
      <w:r w:rsidR="006A17B4" w:rsidRPr="00861854">
        <w:rPr>
          <w:rFonts w:ascii="Futura Lt BT" w:hAnsi="Futura Lt BT" w:cs="Arial"/>
          <w:color w:val="050505"/>
        </w:rPr>
        <w:t>junio</w:t>
      </w:r>
      <w:r w:rsidR="000E32C9" w:rsidRPr="00861854">
        <w:rPr>
          <w:rFonts w:ascii="Futura Lt BT" w:hAnsi="Futura Lt BT" w:cs="Arial"/>
          <w:color w:val="050505"/>
        </w:rPr>
        <w:t xml:space="preserve"> </w:t>
      </w:r>
      <w:bookmarkStart w:id="1" w:name="_Hlk149573695"/>
      <w:r w:rsidR="000E32C9" w:rsidRPr="00861854">
        <w:rPr>
          <w:rFonts w:ascii="Futura Lt BT" w:hAnsi="Futura Lt BT" w:cs="Arial"/>
          <w:color w:val="050505"/>
        </w:rPr>
        <w:t>(US$584.7 millones en RIB)</w:t>
      </w:r>
      <w:bookmarkEnd w:id="1"/>
      <w:r w:rsidR="004F1A6A" w:rsidRPr="00861854">
        <w:rPr>
          <w:rFonts w:ascii="Futura Lt BT" w:hAnsi="Futura Lt BT" w:cs="Arial"/>
          <w:color w:val="050505"/>
        </w:rPr>
        <w:t>,</w:t>
      </w:r>
      <w:r w:rsidR="006A17B4" w:rsidRPr="00861854">
        <w:rPr>
          <w:rFonts w:ascii="Futura Lt BT" w:hAnsi="Futura Lt BT" w:cs="Arial"/>
          <w:color w:val="050505"/>
        </w:rPr>
        <w:t xml:space="preserve"> </w:t>
      </w:r>
      <w:r w:rsidRPr="00861854">
        <w:rPr>
          <w:rFonts w:ascii="Futura Lt BT" w:hAnsi="Futura Lt BT" w:cs="Arial"/>
          <w:color w:val="050505"/>
        </w:rPr>
        <w:t>como resultado neto de las operaciones monetarias y cambiarias realizadas en el per</w:t>
      </w:r>
      <w:r w:rsidR="004F1A6A" w:rsidRPr="00861854">
        <w:rPr>
          <w:rFonts w:ascii="Futura Lt BT" w:hAnsi="Futura Lt BT" w:cs="Arial"/>
          <w:color w:val="050505"/>
        </w:rPr>
        <w:t>í</w:t>
      </w:r>
      <w:r w:rsidRPr="00861854">
        <w:rPr>
          <w:rFonts w:ascii="Futura Lt BT" w:hAnsi="Futura Lt BT" w:cs="Arial"/>
          <w:color w:val="050505"/>
        </w:rPr>
        <w:t>odo.</w:t>
      </w:r>
    </w:p>
    <w:p w:rsidR="006A17B4" w:rsidRPr="00861854" w:rsidRDefault="006A17B4" w:rsidP="008A74AE">
      <w:pPr>
        <w:spacing w:after="0" w:line="276" w:lineRule="auto"/>
        <w:jc w:val="both"/>
        <w:rPr>
          <w:rFonts w:ascii="Futura Lt BT" w:hAnsi="Futura Lt BT" w:cs="Courier New"/>
          <w:sz w:val="24"/>
          <w:szCs w:val="24"/>
          <w:lang w:val="es-MX"/>
        </w:rPr>
      </w:pPr>
    </w:p>
    <w:p w:rsidR="00F6744B" w:rsidRDefault="008A74AE" w:rsidP="008A74AE">
      <w:pPr>
        <w:spacing w:after="0" w:line="276" w:lineRule="auto"/>
        <w:jc w:val="both"/>
      </w:pPr>
      <w:bookmarkStart w:id="2" w:name="_Hlk149573337"/>
      <w:r w:rsidRPr="00861854">
        <w:rPr>
          <w:rFonts w:ascii="Futura Lt BT" w:hAnsi="Futura Lt BT" w:cs="Courier New"/>
          <w:sz w:val="24"/>
          <w:szCs w:val="24"/>
          <w:lang w:val="es-MX"/>
        </w:rPr>
        <w:t xml:space="preserve">Como resultado de lo anterior, </w:t>
      </w:r>
      <w:r w:rsidR="004F1A6A" w:rsidRPr="00861854">
        <w:rPr>
          <w:rFonts w:ascii="Futura Lt BT" w:hAnsi="Futura Lt BT" w:cs="Courier New"/>
          <w:sz w:val="24"/>
          <w:szCs w:val="24"/>
          <w:lang w:val="es-MX"/>
        </w:rPr>
        <w:t>la balanza de pagos registró superávit de cuenta corriente tanto en el segundo trimestre (US$466.1 millones)</w:t>
      </w:r>
      <w:r w:rsidR="00861854" w:rsidRPr="00861854">
        <w:rPr>
          <w:rFonts w:ascii="Futura Lt BT" w:hAnsi="Futura Lt BT" w:cs="Courier New"/>
          <w:sz w:val="24"/>
          <w:szCs w:val="24"/>
          <w:lang w:val="es-MX"/>
        </w:rPr>
        <w:t>,</w:t>
      </w:r>
      <w:r w:rsidR="004F1A6A" w:rsidRPr="00861854">
        <w:rPr>
          <w:rFonts w:ascii="Futura Lt BT" w:hAnsi="Futura Lt BT" w:cs="Courier New"/>
          <w:sz w:val="24"/>
          <w:szCs w:val="24"/>
          <w:lang w:val="es-MX"/>
        </w:rPr>
        <w:t xml:space="preserve"> como en el acumulado </w:t>
      </w:r>
      <w:r w:rsidRPr="00861854">
        <w:rPr>
          <w:rFonts w:ascii="Futura Lt BT" w:hAnsi="Futura Lt BT" w:cs="Courier New"/>
          <w:sz w:val="24"/>
          <w:szCs w:val="24"/>
          <w:lang w:val="es-MX"/>
        </w:rPr>
        <w:t xml:space="preserve">en </w:t>
      </w:r>
      <w:r w:rsidR="00A14A1F" w:rsidRPr="00861854">
        <w:rPr>
          <w:rFonts w:ascii="Futura Lt BT" w:hAnsi="Futura Lt BT" w:cs="Courier New"/>
          <w:sz w:val="24"/>
          <w:szCs w:val="24"/>
          <w:lang w:val="es-MX"/>
        </w:rPr>
        <w:t>el primer se</w:t>
      </w:r>
      <w:r w:rsidRPr="00861854">
        <w:rPr>
          <w:rFonts w:ascii="Futura Lt BT" w:hAnsi="Futura Lt BT" w:cs="Courier New"/>
          <w:sz w:val="24"/>
          <w:szCs w:val="24"/>
          <w:lang w:val="es-MX"/>
        </w:rPr>
        <w:t xml:space="preserve">mestre </w:t>
      </w:r>
      <w:r w:rsidR="00A14A1F" w:rsidRPr="00861854">
        <w:rPr>
          <w:rFonts w:ascii="Futura Lt BT" w:hAnsi="Futura Lt BT" w:cs="Courier New"/>
          <w:sz w:val="24"/>
          <w:szCs w:val="24"/>
          <w:lang w:val="es-MX"/>
        </w:rPr>
        <w:t>de</w:t>
      </w:r>
      <w:r w:rsidR="00861854" w:rsidRPr="00861854">
        <w:rPr>
          <w:rFonts w:ascii="Futura Lt BT" w:hAnsi="Futura Lt BT" w:cs="Courier New"/>
          <w:sz w:val="24"/>
          <w:szCs w:val="24"/>
          <w:lang w:val="es-MX"/>
        </w:rPr>
        <w:t>l año</w:t>
      </w:r>
      <w:r w:rsidR="004F1A6A" w:rsidRPr="00861854">
        <w:rPr>
          <w:rFonts w:ascii="Futura Lt BT" w:hAnsi="Futura Lt BT" w:cs="Courier New"/>
          <w:sz w:val="24"/>
          <w:szCs w:val="24"/>
          <w:lang w:val="es-MX"/>
        </w:rPr>
        <w:t xml:space="preserve"> (US$976.4 millones);</w:t>
      </w:r>
      <w:r w:rsidR="003469EC" w:rsidRPr="00861854">
        <w:rPr>
          <w:rFonts w:ascii="Futura Lt BT" w:hAnsi="Futura Lt BT" w:cs="Courier New"/>
          <w:sz w:val="24"/>
          <w:szCs w:val="24"/>
          <w:lang w:val="es-MX"/>
        </w:rPr>
        <w:t xml:space="preserve"> </w:t>
      </w:r>
      <w:r w:rsidR="004F1A6A" w:rsidRPr="00861854">
        <w:rPr>
          <w:rFonts w:ascii="Futura Lt BT" w:hAnsi="Futura Lt BT" w:cs="Courier New"/>
          <w:sz w:val="24"/>
          <w:szCs w:val="24"/>
          <w:lang w:val="es-MX"/>
        </w:rPr>
        <w:t>así como también</w:t>
      </w:r>
      <w:r w:rsidR="00625C67" w:rsidRPr="00861854">
        <w:rPr>
          <w:rFonts w:ascii="Futura Lt BT" w:hAnsi="Futura Lt BT" w:cs="Courier New"/>
          <w:sz w:val="24"/>
          <w:szCs w:val="24"/>
          <w:lang w:val="es-MX"/>
        </w:rPr>
        <w:t xml:space="preserve"> </w:t>
      </w:r>
      <w:r w:rsidRPr="00861854">
        <w:rPr>
          <w:rFonts w:ascii="Futura Lt BT" w:hAnsi="Futura Lt BT" w:cs="Courier New"/>
          <w:sz w:val="24"/>
          <w:szCs w:val="24"/>
          <w:lang w:val="es-MX"/>
        </w:rPr>
        <w:t>flujo</w:t>
      </w:r>
      <w:r w:rsidR="00625C67" w:rsidRPr="00861854">
        <w:rPr>
          <w:rFonts w:ascii="Futura Lt BT" w:hAnsi="Futura Lt BT" w:cs="Courier New"/>
          <w:sz w:val="24"/>
          <w:szCs w:val="24"/>
          <w:lang w:val="es-MX"/>
        </w:rPr>
        <w:t xml:space="preserve">s netos de capitales </w:t>
      </w:r>
      <w:r w:rsidRPr="00861854">
        <w:rPr>
          <w:rFonts w:ascii="Futura Lt BT" w:hAnsi="Futura Lt BT" w:cs="Courier New"/>
          <w:sz w:val="24"/>
          <w:szCs w:val="24"/>
          <w:lang w:val="es-MX"/>
        </w:rPr>
        <w:t>hacia el exterior.</w:t>
      </w:r>
      <w:r w:rsidRPr="008A74AE">
        <w:rPr>
          <w:rFonts w:ascii="Futura Lt BT" w:hAnsi="Futura Lt BT" w:cs="Courier New"/>
          <w:sz w:val="24"/>
          <w:szCs w:val="24"/>
          <w:lang w:val="es-MX"/>
        </w:rPr>
        <w:t xml:space="preserve"> </w:t>
      </w:r>
    </w:p>
    <w:bookmarkEnd w:id="2"/>
    <w:p w:rsidR="00F6744B" w:rsidRDefault="00F6744B" w:rsidP="00F6744B">
      <w:pPr>
        <w:pStyle w:val="Estilo2"/>
        <w:ind w:left="862"/>
        <w:jc w:val="left"/>
      </w:pPr>
    </w:p>
    <w:p w:rsidR="00D02B3A" w:rsidRPr="00EE2F2E" w:rsidRDefault="007F352D" w:rsidP="00D02B3A">
      <w:pPr>
        <w:pStyle w:val="Estilo2"/>
        <w:numPr>
          <w:ilvl w:val="0"/>
          <w:numId w:val="4"/>
        </w:numPr>
        <w:jc w:val="left"/>
      </w:pPr>
      <w:r>
        <w:t>Resultados de la Cuenta Corriente de la Balanza de Pagos</w:t>
      </w:r>
      <w:r>
        <w:rPr>
          <w:rStyle w:val="Refdenotaalpie"/>
        </w:rPr>
        <w:footnoteReference w:id="1"/>
      </w:r>
    </w:p>
    <w:p w:rsidR="00D02B3A" w:rsidRDefault="00D02B3A" w:rsidP="00D02B3A">
      <w:pPr>
        <w:spacing w:after="0" w:line="240" w:lineRule="auto"/>
        <w:jc w:val="both"/>
        <w:rPr>
          <w:rFonts w:ascii="Futura Lt BT" w:hAnsi="Futura Lt BT"/>
          <w:sz w:val="24"/>
          <w:szCs w:val="24"/>
        </w:rPr>
      </w:pPr>
    </w:p>
    <w:p w:rsidR="00906339" w:rsidRDefault="00104BB8" w:rsidP="00834829">
      <w:pPr>
        <w:spacing w:after="0" w:line="276" w:lineRule="auto"/>
        <w:jc w:val="both"/>
        <w:rPr>
          <w:rFonts w:ascii="Futura Lt BT" w:hAnsi="Futura Lt BT" w:cs="Courier New"/>
          <w:sz w:val="24"/>
          <w:szCs w:val="24"/>
          <w:lang w:val="es-MX"/>
        </w:rPr>
      </w:pPr>
      <w:r>
        <w:rPr>
          <w:rFonts w:ascii="Futura Lt BT" w:hAnsi="Futura Lt BT" w:cs="Courier New"/>
          <w:sz w:val="24"/>
          <w:szCs w:val="24"/>
          <w:lang w:val="es-MX"/>
        </w:rPr>
        <w:t>Durante el segundo</w:t>
      </w:r>
      <w:r w:rsidR="007F352D" w:rsidRPr="007F352D">
        <w:rPr>
          <w:rFonts w:ascii="Futura Lt BT" w:hAnsi="Futura Lt BT" w:cs="Courier New"/>
          <w:sz w:val="24"/>
          <w:szCs w:val="24"/>
          <w:lang w:val="es-MX"/>
        </w:rPr>
        <w:t xml:space="preserve"> trimestre de 2023, la cuenta corriente de la balanza de pagos reflejó un superávit de </w:t>
      </w:r>
      <w:r w:rsidR="005B573C">
        <w:rPr>
          <w:rFonts w:ascii="Futura Lt BT" w:hAnsi="Futura Lt BT" w:cs="Courier New"/>
          <w:sz w:val="24"/>
          <w:szCs w:val="24"/>
          <w:lang w:val="es-MX"/>
        </w:rPr>
        <w:t>466.1</w:t>
      </w:r>
      <w:r w:rsidR="007F352D" w:rsidRPr="007F352D">
        <w:rPr>
          <w:rFonts w:ascii="Futura Lt BT" w:hAnsi="Futura Lt BT" w:cs="Courier New"/>
          <w:sz w:val="24"/>
          <w:szCs w:val="24"/>
          <w:lang w:val="es-MX"/>
        </w:rPr>
        <w:t xml:space="preserve"> millones de dólares</w:t>
      </w:r>
      <w:r w:rsidR="00634006">
        <w:rPr>
          <w:rFonts w:ascii="Futura Lt BT" w:hAnsi="Futura Lt BT" w:cs="Courier New"/>
          <w:sz w:val="24"/>
          <w:szCs w:val="24"/>
          <w:lang w:val="es-MX"/>
        </w:rPr>
        <w:t xml:space="preserve">, menor en 44.2 millones al registrado en el trimestre anterior </w:t>
      </w:r>
      <w:r w:rsidR="006F1816">
        <w:rPr>
          <w:rFonts w:ascii="Futura Lt BT" w:hAnsi="Futura Lt BT" w:cs="Courier New"/>
          <w:sz w:val="24"/>
          <w:szCs w:val="24"/>
          <w:lang w:val="es-MX"/>
        </w:rPr>
        <w:t>(US$510.3 millones</w:t>
      </w:r>
      <w:r w:rsidR="00634006">
        <w:rPr>
          <w:rFonts w:ascii="Futura Lt BT" w:hAnsi="Futura Lt BT" w:cs="Courier New"/>
          <w:sz w:val="24"/>
          <w:szCs w:val="24"/>
          <w:lang w:val="es-MX"/>
        </w:rPr>
        <w:t xml:space="preserve">). El superávit </w:t>
      </w:r>
      <w:bookmarkStart w:id="3" w:name="_Hlk51157251"/>
      <w:r w:rsidR="00526784">
        <w:rPr>
          <w:rFonts w:ascii="Futura Lt BT" w:hAnsi="Futura Lt BT" w:cs="Courier New"/>
          <w:sz w:val="24"/>
          <w:szCs w:val="24"/>
          <w:lang w:val="es-MX"/>
        </w:rPr>
        <w:t xml:space="preserve">representó </w:t>
      </w:r>
      <w:r w:rsidR="000636F0">
        <w:rPr>
          <w:rFonts w:ascii="Futura Lt BT" w:hAnsi="Futura Lt BT" w:cs="Courier New"/>
          <w:sz w:val="24"/>
          <w:szCs w:val="24"/>
          <w:lang w:val="es-MX"/>
        </w:rPr>
        <w:t xml:space="preserve">el </w:t>
      </w:r>
      <w:r w:rsidR="00526784">
        <w:rPr>
          <w:rFonts w:ascii="Futura Lt BT" w:hAnsi="Futura Lt BT" w:cs="Courier New"/>
          <w:sz w:val="24"/>
          <w:szCs w:val="24"/>
          <w:lang w:val="es-MX"/>
        </w:rPr>
        <w:t>1</w:t>
      </w:r>
      <w:r w:rsidR="00CB1FAD">
        <w:rPr>
          <w:rFonts w:ascii="Futura Lt BT" w:hAnsi="Futura Lt BT" w:cs="Courier New"/>
          <w:sz w:val="24"/>
          <w:szCs w:val="24"/>
          <w:lang w:val="es-MX"/>
        </w:rPr>
        <w:t>1</w:t>
      </w:r>
      <w:r>
        <w:rPr>
          <w:rFonts w:ascii="Futura Lt BT" w:hAnsi="Futura Lt BT" w:cs="Courier New"/>
          <w:sz w:val="24"/>
          <w:szCs w:val="24"/>
          <w:lang w:val="es-MX"/>
        </w:rPr>
        <w:t>.</w:t>
      </w:r>
      <w:r w:rsidR="00CB1FAD">
        <w:rPr>
          <w:rFonts w:ascii="Futura Lt BT" w:hAnsi="Futura Lt BT" w:cs="Courier New"/>
          <w:sz w:val="24"/>
          <w:szCs w:val="24"/>
          <w:lang w:val="es-MX"/>
        </w:rPr>
        <w:t>1</w:t>
      </w:r>
      <w:r w:rsidR="00526784">
        <w:rPr>
          <w:rFonts w:ascii="Futura Lt BT" w:hAnsi="Futura Lt BT" w:cs="Courier New"/>
          <w:sz w:val="24"/>
          <w:szCs w:val="24"/>
          <w:lang w:val="es-MX"/>
        </w:rPr>
        <w:t xml:space="preserve"> por ciento del </w:t>
      </w:r>
      <w:r w:rsidR="002B3F29">
        <w:rPr>
          <w:rFonts w:ascii="Futura Lt BT" w:hAnsi="Futura Lt BT" w:cs="Courier New"/>
          <w:sz w:val="24"/>
          <w:szCs w:val="24"/>
          <w:lang w:val="es-MX"/>
        </w:rPr>
        <w:t>P</w:t>
      </w:r>
      <w:r w:rsidR="00526784">
        <w:rPr>
          <w:rFonts w:ascii="Futura Lt BT" w:hAnsi="Futura Lt BT" w:cs="Courier New"/>
          <w:sz w:val="24"/>
          <w:szCs w:val="24"/>
          <w:lang w:val="es-MX"/>
        </w:rPr>
        <w:t xml:space="preserve">roducto </w:t>
      </w:r>
      <w:r w:rsidR="002B3F29">
        <w:rPr>
          <w:rFonts w:ascii="Futura Lt BT" w:hAnsi="Futura Lt BT" w:cs="Courier New"/>
          <w:sz w:val="24"/>
          <w:szCs w:val="24"/>
          <w:lang w:val="es-MX"/>
        </w:rPr>
        <w:t>I</w:t>
      </w:r>
      <w:r w:rsidR="00526784">
        <w:rPr>
          <w:rFonts w:ascii="Futura Lt BT" w:hAnsi="Futura Lt BT" w:cs="Courier New"/>
          <w:sz w:val="24"/>
          <w:szCs w:val="24"/>
          <w:lang w:val="es-MX"/>
        </w:rPr>
        <w:t xml:space="preserve">nterno </w:t>
      </w:r>
      <w:r w:rsidR="002B3F29">
        <w:rPr>
          <w:rFonts w:ascii="Futura Lt BT" w:hAnsi="Futura Lt BT" w:cs="Courier New"/>
          <w:sz w:val="24"/>
          <w:szCs w:val="24"/>
          <w:lang w:val="es-MX"/>
        </w:rPr>
        <w:t>B</w:t>
      </w:r>
      <w:r w:rsidR="00526784">
        <w:rPr>
          <w:rFonts w:ascii="Futura Lt BT" w:hAnsi="Futura Lt BT" w:cs="Courier New"/>
          <w:sz w:val="24"/>
          <w:szCs w:val="24"/>
          <w:lang w:val="es-MX"/>
        </w:rPr>
        <w:t>ruto</w:t>
      </w:r>
      <w:r w:rsidR="002B3F29">
        <w:rPr>
          <w:rFonts w:ascii="Futura Lt BT" w:hAnsi="Futura Lt BT" w:cs="Courier New"/>
          <w:sz w:val="24"/>
          <w:szCs w:val="24"/>
          <w:lang w:val="es-MX"/>
        </w:rPr>
        <w:t xml:space="preserve"> (PIB)</w:t>
      </w:r>
      <w:r w:rsidR="00634006">
        <w:rPr>
          <w:rFonts w:ascii="Futura Lt BT" w:hAnsi="Futura Lt BT" w:cs="Courier New"/>
          <w:sz w:val="24"/>
          <w:szCs w:val="24"/>
          <w:lang w:val="es-MX"/>
        </w:rPr>
        <w:t xml:space="preserve">, siendo </w:t>
      </w:r>
      <w:r w:rsidR="00A3481D">
        <w:rPr>
          <w:rFonts w:ascii="Futura Lt BT" w:hAnsi="Futura Lt BT" w:cs="Courier New"/>
          <w:sz w:val="24"/>
          <w:szCs w:val="24"/>
          <w:lang w:val="es-MX"/>
        </w:rPr>
        <w:t xml:space="preserve">menor en 1.2 </w:t>
      </w:r>
      <w:r w:rsidR="00634006" w:rsidRPr="00FD4006">
        <w:rPr>
          <w:rFonts w:ascii="Futura Lt BT" w:hAnsi="Futura Lt BT" w:cs="Courier New"/>
          <w:sz w:val="24"/>
          <w:szCs w:val="24"/>
          <w:lang w:val="es-MX"/>
        </w:rPr>
        <w:t>puntos porcentuales</w:t>
      </w:r>
      <w:r w:rsidR="00A3481D">
        <w:rPr>
          <w:rFonts w:ascii="Futura Lt BT" w:hAnsi="Futura Lt BT" w:cs="Courier New"/>
          <w:sz w:val="24"/>
          <w:szCs w:val="24"/>
          <w:lang w:val="es-MX"/>
        </w:rPr>
        <w:t xml:space="preserve"> con respecto </w:t>
      </w:r>
      <w:r w:rsidR="00634006" w:rsidRPr="00FD4006">
        <w:rPr>
          <w:rFonts w:ascii="Futura Lt BT" w:hAnsi="Futura Lt BT" w:cs="Courier New"/>
          <w:sz w:val="24"/>
          <w:szCs w:val="24"/>
          <w:lang w:val="es-MX"/>
        </w:rPr>
        <w:t>al trimestre anterior (1</w:t>
      </w:r>
      <w:r w:rsidR="009E2E64">
        <w:rPr>
          <w:rFonts w:ascii="Futura Lt BT" w:hAnsi="Futura Lt BT" w:cs="Courier New"/>
          <w:sz w:val="24"/>
          <w:szCs w:val="24"/>
          <w:lang w:val="es-MX"/>
        </w:rPr>
        <w:t>2.3</w:t>
      </w:r>
      <w:r w:rsidR="00634006" w:rsidRPr="00FD4006">
        <w:rPr>
          <w:rFonts w:ascii="Futura Lt BT" w:hAnsi="Futura Lt BT" w:cs="Courier New"/>
          <w:sz w:val="24"/>
          <w:szCs w:val="24"/>
          <w:lang w:val="es-MX"/>
        </w:rPr>
        <w:t>%)</w:t>
      </w:r>
      <w:r w:rsidR="00526784" w:rsidRPr="00FD4006">
        <w:rPr>
          <w:rFonts w:ascii="Futura Lt BT" w:hAnsi="Futura Lt BT" w:cs="Courier New"/>
          <w:sz w:val="24"/>
          <w:szCs w:val="24"/>
          <w:lang w:val="es-MX"/>
        </w:rPr>
        <w:t xml:space="preserve">. El resultado </w:t>
      </w:r>
      <w:r w:rsidR="00437DD8">
        <w:rPr>
          <w:rFonts w:ascii="Futura Lt BT" w:hAnsi="Futura Lt BT" w:cs="Courier New"/>
          <w:sz w:val="24"/>
          <w:szCs w:val="24"/>
          <w:lang w:val="es-MX"/>
        </w:rPr>
        <w:t xml:space="preserve">de la cuenta corriente </w:t>
      </w:r>
      <w:r w:rsidR="00526784" w:rsidRPr="00FD4006">
        <w:rPr>
          <w:rFonts w:ascii="Futura Lt BT" w:hAnsi="Futura Lt BT" w:cs="Courier New"/>
          <w:sz w:val="24"/>
          <w:szCs w:val="24"/>
          <w:lang w:val="es-MX"/>
        </w:rPr>
        <w:t xml:space="preserve">se explicó </w:t>
      </w:r>
      <w:r w:rsidR="0032743A" w:rsidRPr="00FD4006">
        <w:rPr>
          <w:rFonts w:ascii="Futura Lt BT" w:hAnsi="Futura Lt BT" w:cs="Courier New"/>
          <w:sz w:val="24"/>
          <w:szCs w:val="24"/>
          <w:lang w:val="es-MX"/>
        </w:rPr>
        <w:t>por</w:t>
      </w:r>
      <w:r w:rsidR="0032743A">
        <w:rPr>
          <w:rFonts w:ascii="Futura Lt BT" w:hAnsi="Futura Lt BT" w:cs="Courier New"/>
          <w:sz w:val="24"/>
          <w:szCs w:val="24"/>
          <w:lang w:val="es-MX"/>
        </w:rPr>
        <w:t xml:space="preserve"> el superávit del ingreso secundario (US$1,</w:t>
      </w:r>
      <w:r>
        <w:rPr>
          <w:rFonts w:ascii="Futura Lt BT" w:hAnsi="Futura Lt BT" w:cs="Courier New"/>
          <w:sz w:val="24"/>
          <w:szCs w:val="24"/>
          <w:lang w:val="es-MX"/>
        </w:rPr>
        <w:t>199</w:t>
      </w:r>
      <w:r w:rsidR="0032743A">
        <w:rPr>
          <w:rFonts w:ascii="Futura Lt BT" w:hAnsi="Futura Lt BT" w:cs="Courier New"/>
          <w:sz w:val="24"/>
          <w:szCs w:val="24"/>
          <w:lang w:val="es-MX"/>
        </w:rPr>
        <w:t>.</w:t>
      </w:r>
      <w:r>
        <w:rPr>
          <w:rFonts w:ascii="Futura Lt BT" w:hAnsi="Futura Lt BT" w:cs="Courier New"/>
          <w:sz w:val="24"/>
          <w:szCs w:val="24"/>
          <w:lang w:val="es-MX"/>
        </w:rPr>
        <w:t>6</w:t>
      </w:r>
      <w:r w:rsidR="0032743A">
        <w:rPr>
          <w:rFonts w:ascii="Futura Lt BT" w:hAnsi="Futura Lt BT" w:cs="Courier New"/>
          <w:sz w:val="24"/>
          <w:szCs w:val="24"/>
          <w:lang w:val="es-MX"/>
        </w:rPr>
        <w:t xml:space="preserve"> millones), el cual </w:t>
      </w:r>
      <w:r w:rsidR="003D4CDE">
        <w:rPr>
          <w:rFonts w:ascii="Futura Lt BT" w:hAnsi="Futura Lt BT" w:cs="Courier New"/>
          <w:sz w:val="24"/>
          <w:szCs w:val="24"/>
          <w:lang w:val="es-MX"/>
        </w:rPr>
        <w:t>superó al</w:t>
      </w:r>
      <w:r w:rsidR="0032743A">
        <w:rPr>
          <w:rFonts w:ascii="Futura Lt BT" w:hAnsi="Futura Lt BT" w:cs="Courier New"/>
          <w:sz w:val="24"/>
          <w:szCs w:val="24"/>
          <w:lang w:val="es-MX"/>
        </w:rPr>
        <w:t xml:space="preserve"> déficit comercial de bienes y servicios (-US$</w:t>
      </w:r>
      <w:r>
        <w:rPr>
          <w:rFonts w:ascii="Futura Lt BT" w:hAnsi="Futura Lt BT" w:cs="Courier New"/>
          <w:sz w:val="24"/>
          <w:szCs w:val="24"/>
          <w:lang w:val="es-MX"/>
        </w:rPr>
        <w:t>465.2</w:t>
      </w:r>
      <w:r w:rsidR="0032743A">
        <w:rPr>
          <w:rFonts w:ascii="Futura Lt BT" w:hAnsi="Futura Lt BT" w:cs="Courier New"/>
          <w:sz w:val="24"/>
          <w:szCs w:val="24"/>
          <w:lang w:val="es-MX"/>
        </w:rPr>
        <w:t xml:space="preserve"> millones) </w:t>
      </w:r>
      <w:r w:rsidR="0032743A" w:rsidRPr="00CB1FAD">
        <w:rPr>
          <w:rFonts w:ascii="Futura Lt BT" w:hAnsi="Futura Lt BT" w:cs="Courier New"/>
          <w:sz w:val="24"/>
          <w:szCs w:val="24"/>
          <w:lang w:val="es-MX"/>
        </w:rPr>
        <w:t xml:space="preserve">y </w:t>
      </w:r>
      <w:r w:rsidR="002718F7">
        <w:rPr>
          <w:rFonts w:ascii="Futura Lt BT" w:hAnsi="Futura Lt BT" w:cs="Courier New"/>
          <w:sz w:val="24"/>
          <w:szCs w:val="24"/>
          <w:lang w:val="es-MX"/>
        </w:rPr>
        <w:t>a</w:t>
      </w:r>
      <w:r w:rsidR="0032743A" w:rsidRPr="00CB1FAD">
        <w:rPr>
          <w:rFonts w:ascii="Futura Lt BT" w:hAnsi="Futura Lt BT" w:cs="Courier New"/>
          <w:sz w:val="24"/>
          <w:szCs w:val="24"/>
          <w:lang w:val="es-MX"/>
        </w:rPr>
        <w:t>l balance negativo de la renta de la inversión (-US$</w:t>
      </w:r>
      <w:r w:rsidR="00CB1FAD" w:rsidRPr="00CB1FAD">
        <w:rPr>
          <w:rFonts w:ascii="Futura Lt BT" w:hAnsi="Futura Lt BT" w:cs="Courier New"/>
          <w:sz w:val="24"/>
          <w:szCs w:val="24"/>
          <w:lang w:val="es-MX"/>
        </w:rPr>
        <w:t>268.3</w:t>
      </w:r>
      <w:r w:rsidR="0032743A" w:rsidRPr="00CB1FAD">
        <w:rPr>
          <w:rFonts w:ascii="Futura Lt BT" w:hAnsi="Futura Lt BT" w:cs="Courier New"/>
          <w:sz w:val="24"/>
          <w:szCs w:val="24"/>
          <w:lang w:val="es-MX"/>
        </w:rPr>
        <w:t xml:space="preserve"> millones)</w:t>
      </w:r>
      <w:bookmarkEnd w:id="3"/>
      <w:r w:rsidR="007F352D" w:rsidRPr="00CB1FAD">
        <w:rPr>
          <w:rFonts w:ascii="Futura Lt BT" w:hAnsi="Futura Lt BT" w:cs="Courier New"/>
          <w:sz w:val="24"/>
          <w:szCs w:val="24"/>
          <w:lang w:val="es-MX"/>
        </w:rPr>
        <w:t>.</w:t>
      </w:r>
    </w:p>
    <w:p w:rsidR="00906339" w:rsidRDefault="00906339" w:rsidP="00834829">
      <w:pPr>
        <w:spacing w:after="0" w:line="276" w:lineRule="auto"/>
        <w:jc w:val="both"/>
        <w:rPr>
          <w:rFonts w:ascii="Futura Lt BT" w:hAnsi="Futura Lt BT" w:cs="Courier New"/>
          <w:sz w:val="24"/>
          <w:szCs w:val="24"/>
          <w:lang w:val="es-MX"/>
        </w:rPr>
      </w:pPr>
    </w:p>
    <w:p w:rsidR="002D6429" w:rsidRDefault="002D6429" w:rsidP="00834829">
      <w:pPr>
        <w:spacing w:after="0" w:line="276" w:lineRule="auto"/>
        <w:jc w:val="both"/>
        <w:rPr>
          <w:rFonts w:ascii="Futura Lt BT" w:hAnsi="Futura Lt BT" w:cs="Courier New"/>
          <w:sz w:val="24"/>
          <w:szCs w:val="24"/>
          <w:lang w:val="es-MX"/>
        </w:rPr>
      </w:pPr>
      <w:r>
        <w:rPr>
          <w:rFonts w:ascii="Futura Lt BT" w:hAnsi="Futura Lt BT" w:cs="Courier New"/>
          <w:sz w:val="24"/>
          <w:szCs w:val="24"/>
          <w:lang w:val="es-MX"/>
        </w:rPr>
        <w:t xml:space="preserve">En términos acumulados, la cuenta corriente </w:t>
      </w:r>
      <w:r w:rsidR="006F1816">
        <w:rPr>
          <w:rFonts w:ascii="Futura Lt BT" w:hAnsi="Futura Lt BT" w:cs="Courier New"/>
          <w:sz w:val="24"/>
          <w:szCs w:val="24"/>
          <w:lang w:val="es-MX"/>
        </w:rPr>
        <w:t xml:space="preserve">fue superavitaria en </w:t>
      </w:r>
      <w:r w:rsidR="00DB4F45">
        <w:rPr>
          <w:rFonts w:ascii="Futura Lt BT" w:hAnsi="Futura Lt BT" w:cs="Courier New"/>
          <w:sz w:val="24"/>
          <w:szCs w:val="24"/>
          <w:lang w:val="es-MX"/>
        </w:rPr>
        <w:t>976.4</w:t>
      </w:r>
      <w:r w:rsidR="00AB33D7">
        <w:rPr>
          <w:rFonts w:ascii="Futura Lt BT" w:hAnsi="Futura Lt BT" w:cs="Courier New"/>
          <w:sz w:val="24"/>
          <w:szCs w:val="24"/>
          <w:lang w:val="es-MX"/>
        </w:rPr>
        <w:t xml:space="preserve"> millones de dólares </w:t>
      </w:r>
      <w:r w:rsidR="00AB33D7" w:rsidRPr="00FD4006">
        <w:rPr>
          <w:rFonts w:ascii="Futura Lt BT" w:hAnsi="Futura Lt BT" w:cs="Courier New"/>
          <w:sz w:val="24"/>
          <w:szCs w:val="24"/>
          <w:lang w:val="es-MX"/>
        </w:rPr>
        <w:t>(1</w:t>
      </w:r>
      <w:r w:rsidR="00DB4F45" w:rsidRPr="00FD4006">
        <w:rPr>
          <w:rFonts w:ascii="Futura Lt BT" w:hAnsi="Futura Lt BT" w:cs="Courier New"/>
          <w:sz w:val="24"/>
          <w:szCs w:val="24"/>
          <w:lang w:val="es-MX"/>
        </w:rPr>
        <w:t>1</w:t>
      </w:r>
      <w:r w:rsidR="009E7CCD" w:rsidRPr="00FD4006">
        <w:rPr>
          <w:rFonts w:ascii="Futura Lt BT" w:hAnsi="Futura Lt BT" w:cs="Courier New"/>
          <w:sz w:val="24"/>
          <w:szCs w:val="24"/>
          <w:lang w:val="es-MX"/>
        </w:rPr>
        <w:t>.</w:t>
      </w:r>
      <w:r w:rsidR="00DB4F45" w:rsidRPr="00FD4006">
        <w:rPr>
          <w:rFonts w:ascii="Futura Lt BT" w:hAnsi="Futura Lt BT" w:cs="Courier New"/>
          <w:sz w:val="24"/>
          <w:szCs w:val="24"/>
          <w:lang w:val="es-MX"/>
        </w:rPr>
        <w:t>7</w:t>
      </w:r>
      <w:r w:rsidR="00AB33D7" w:rsidRPr="00FD4006">
        <w:rPr>
          <w:rFonts w:ascii="Futura Lt BT" w:hAnsi="Futura Lt BT" w:cs="Courier New"/>
          <w:sz w:val="24"/>
          <w:szCs w:val="24"/>
          <w:lang w:val="es-MX"/>
        </w:rPr>
        <w:t xml:space="preserve">% del PIB), </w:t>
      </w:r>
      <w:r w:rsidR="007F6387" w:rsidRPr="00FD4006">
        <w:rPr>
          <w:rFonts w:ascii="Futura Lt BT" w:hAnsi="Futura Lt BT" w:cs="Courier New"/>
          <w:sz w:val="24"/>
          <w:szCs w:val="24"/>
          <w:lang w:val="es-MX"/>
        </w:rPr>
        <w:t>resultado contrario</w:t>
      </w:r>
      <w:r w:rsidR="00AB33D7" w:rsidRPr="00FD4006">
        <w:rPr>
          <w:rFonts w:ascii="Futura Lt BT" w:hAnsi="Futura Lt BT" w:cs="Courier New"/>
          <w:sz w:val="24"/>
          <w:szCs w:val="24"/>
          <w:lang w:val="es-MX"/>
        </w:rPr>
        <w:t xml:space="preserve"> al </w:t>
      </w:r>
      <w:r w:rsidR="007F6387" w:rsidRPr="00FD4006">
        <w:rPr>
          <w:rFonts w:ascii="Futura Lt BT" w:hAnsi="Futura Lt BT" w:cs="Courier New"/>
          <w:sz w:val="24"/>
          <w:szCs w:val="24"/>
          <w:lang w:val="es-MX"/>
        </w:rPr>
        <w:t xml:space="preserve">déficit de 151.5 millones de dólares (-2.0% del PIB) </w:t>
      </w:r>
      <w:r w:rsidR="00AB33D7" w:rsidRPr="00FD4006">
        <w:rPr>
          <w:rFonts w:ascii="Futura Lt BT" w:hAnsi="Futura Lt BT" w:cs="Courier New"/>
          <w:sz w:val="24"/>
          <w:szCs w:val="24"/>
          <w:lang w:val="es-MX"/>
        </w:rPr>
        <w:t>registrado</w:t>
      </w:r>
      <w:r w:rsidR="00AB33D7" w:rsidRPr="00AB33D7">
        <w:rPr>
          <w:rFonts w:ascii="Futura Lt BT" w:hAnsi="Futura Lt BT" w:cs="Courier New"/>
          <w:sz w:val="24"/>
          <w:szCs w:val="24"/>
          <w:lang w:val="es-MX"/>
        </w:rPr>
        <w:t xml:space="preserve"> </w:t>
      </w:r>
      <w:r w:rsidR="007F6387">
        <w:rPr>
          <w:rFonts w:ascii="Futura Lt BT" w:hAnsi="Futura Lt BT" w:cs="Courier New"/>
          <w:sz w:val="24"/>
          <w:szCs w:val="24"/>
          <w:lang w:val="es-MX"/>
        </w:rPr>
        <w:t>en el mismo período d</w:t>
      </w:r>
      <w:r w:rsidR="00AB33D7" w:rsidRPr="00AB33D7">
        <w:rPr>
          <w:rFonts w:ascii="Futura Lt BT" w:hAnsi="Futura Lt BT" w:cs="Courier New"/>
          <w:sz w:val="24"/>
          <w:szCs w:val="24"/>
          <w:lang w:val="es-MX"/>
        </w:rPr>
        <w:t>el año anterior</w:t>
      </w:r>
      <w:r w:rsidR="003D4CDE">
        <w:rPr>
          <w:rFonts w:ascii="Futura Lt BT" w:hAnsi="Futura Lt BT" w:cs="Courier New"/>
          <w:sz w:val="24"/>
          <w:szCs w:val="24"/>
          <w:lang w:val="es-MX"/>
        </w:rPr>
        <w:t xml:space="preserve">. Lo anterior, también se debió </w:t>
      </w:r>
      <w:r w:rsidR="00CE546F">
        <w:rPr>
          <w:rFonts w:ascii="Futura Lt BT" w:hAnsi="Futura Lt BT" w:cs="Courier New"/>
          <w:sz w:val="24"/>
          <w:szCs w:val="24"/>
          <w:lang w:val="es-MX"/>
        </w:rPr>
        <w:t xml:space="preserve">al resultado positivo de </w:t>
      </w:r>
      <w:r w:rsidR="003D4CDE">
        <w:rPr>
          <w:rFonts w:ascii="Futura Lt BT" w:hAnsi="Futura Lt BT" w:cs="Courier New"/>
          <w:sz w:val="24"/>
          <w:szCs w:val="24"/>
          <w:lang w:val="es-MX"/>
        </w:rPr>
        <w:t xml:space="preserve">la </w:t>
      </w:r>
      <w:r w:rsidR="002B77D4" w:rsidRPr="00AB33D7">
        <w:rPr>
          <w:rFonts w:ascii="Futura Lt BT" w:hAnsi="Futura Lt BT" w:cs="Courier New"/>
          <w:sz w:val="24"/>
          <w:szCs w:val="24"/>
          <w:lang w:val="es-MX"/>
        </w:rPr>
        <w:t>cuenta del ingreso secundario</w:t>
      </w:r>
      <w:r w:rsidR="00CE546F">
        <w:rPr>
          <w:rFonts w:ascii="Futura Lt BT" w:hAnsi="Futura Lt BT" w:cs="Courier New"/>
          <w:sz w:val="24"/>
          <w:szCs w:val="24"/>
          <w:lang w:val="es-MX"/>
        </w:rPr>
        <w:t xml:space="preserve"> (US$2,222.6 millones)</w:t>
      </w:r>
      <w:r w:rsidR="003D4CDE">
        <w:rPr>
          <w:rFonts w:ascii="Futura Lt BT" w:hAnsi="Futura Lt BT" w:cs="Courier New"/>
          <w:sz w:val="24"/>
          <w:szCs w:val="24"/>
          <w:lang w:val="es-MX"/>
        </w:rPr>
        <w:t xml:space="preserve">, </w:t>
      </w:r>
      <w:r w:rsidR="002B77D4" w:rsidRPr="00AB33D7">
        <w:rPr>
          <w:rFonts w:ascii="Futura Lt BT" w:hAnsi="Futura Lt BT" w:cs="Courier New"/>
          <w:sz w:val="24"/>
          <w:szCs w:val="24"/>
          <w:lang w:val="es-MX"/>
        </w:rPr>
        <w:t>como consecuencia del</w:t>
      </w:r>
      <w:r w:rsidR="003D4CDE">
        <w:rPr>
          <w:rFonts w:ascii="Futura Lt BT" w:hAnsi="Futura Lt BT" w:cs="Courier New"/>
          <w:sz w:val="24"/>
          <w:szCs w:val="24"/>
          <w:lang w:val="es-MX"/>
        </w:rPr>
        <w:t xml:space="preserve"> aumento de los ingresos por remesas del exterior en </w:t>
      </w:r>
      <w:r w:rsidR="002B77D4" w:rsidRPr="00AB33D7">
        <w:rPr>
          <w:rFonts w:ascii="Futura Lt BT" w:hAnsi="Futura Lt BT" w:cs="Courier New"/>
          <w:sz w:val="24"/>
          <w:szCs w:val="24"/>
          <w:lang w:val="es-MX"/>
        </w:rPr>
        <w:t>5</w:t>
      </w:r>
      <w:r w:rsidR="002B77D4">
        <w:rPr>
          <w:rFonts w:ascii="Futura Lt BT" w:hAnsi="Futura Lt BT" w:cs="Courier New"/>
          <w:sz w:val="24"/>
          <w:szCs w:val="24"/>
          <w:lang w:val="es-MX"/>
        </w:rPr>
        <w:t>7.4</w:t>
      </w:r>
      <w:r w:rsidR="002B77D4" w:rsidRPr="00AB33D7">
        <w:rPr>
          <w:rFonts w:ascii="Futura Lt BT" w:hAnsi="Futura Lt BT" w:cs="Courier New"/>
          <w:sz w:val="24"/>
          <w:szCs w:val="24"/>
          <w:lang w:val="es-MX"/>
        </w:rPr>
        <w:t xml:space="preserve"> por ciento</w:t>
      </w:r>
      <w:r w:rsidR="003D4CDE">
        <w:rPr>
          <w:rFonts w:ascii="Futura Lt BT" w:hAnsi="Futura Lt BT" w:cs="Courier New"/>
          <w:sz w:val="24"/>
          <w:szCs w:val="24"/>
          <w:lang w:val="es-MX"/>
        </w:rPr>
        <w:t xml:space="preserve">; </w:t>
      </w:r>
      <w:r w:rsidR="00CE546F">
        <w:rPr>
          <w:rFonts w:ascii="Futura Lt BT" w:hAnsi="Futura Lt BT" w:cs="Courier New"/>
          <w:sz w:val="24"/>
          <w:szCs w:val="24"/>
          <w:lang w:val="es-MX"/>
        </w:rPr>
        <w:t xml:space="preserve">que superó </w:t>
      </w:r>
      <w:r w:rsidR="00AB33D7" w:rsidRPr="00AB33D7">
        <w:rPr>
          <w:rFonts w:ascii="Futura Lt BT" w:hAnsi="Futura Lt BT" w:cs="Courier New"/>
          <w:sz w:val="24"/>
          <w:szCs w:val="24"/>
          <w:lang w:val="es-MX"/>
        </w:rPr>
        <w:t>el déficit de la balanza comercial de bienes y servicios</w:t>
      </w:r>
      <w:r w:rsidR="002B77D4">
        <w:rPr>
          <w:rFonts w:ascii="Futura Lt BT" w:hAnsi="Futura Lt BT" w:cs="Courier New"/>
          <w:sz w:val="24"/>
          <w:szCs w:val="24"/>
          <w:lang w:val="es-MX"/>
        </w:rPr>
        <w:t xml:space="preserve"> </w:t>
      </w:r>
      <w:r w:rsidR="00DB4F45">
        <w:rPr>
          <w:rFonts w:ascii="Futura Lt BT" w:hAnsi="Futura Lt BT" w:cs="Courier New"/>
          <w:sz w:val="24"/>
          <w:szCs w:val="24"/>
          <w:lang w:val="es-MX"/>
        </w:rPr>
        <w:t>(-</w:t>
      </w:r>
      <w:r w:rsidR="008A7304">
        <w:rPr>
          <w:rFonts w:ascii="Futura Lt BT" w:hAnsi="Futura Lt BT" w:cs="Courier New"/>
          <w:sz w:val="24"/>
          <w:szCs w:val="24"/>
          <w:lang w:val="es-MX"/>
        </w:rPr>
        <w:t>US$</w:t>
      </w:r>
      <w:r w:rsidR="00DB4F45">
        <w:rPr>
          <w:rFonts w:ascii="Futura Lt BT" w:hAnsi="Futura Lt BT" w:cs="Courier New"/>
          <w:sz w:val="24"/>
          <w:szCs w:val="24"/>
          <w:lang w:val="es-MX"/>
        </w:rPr>
        <w:t>684.1</w:t>
      </w:r>
      <w:r w:rsidR="008A7304">
        <w:rPr>
          <w:rFonts w:ascii="Futura Lt BT" w:hAnsi="Futura Lt BT" w:cs="Courier New"/>
          <w:sz w:val="24"/>
          <w:szCs w:val="24"/>
          <w:lang w:val="es-MX"/>
        </w:rPr>
        <w:t>millones)</w:t>
      </w:r>
      <w:r w:rsidR="002B77D4">
        <w:rPr>
          <w:rFonts w:ascii="Futura Lt BT" w:hAnsi="Futura Lt BT" w:cs="Courier New"/>
          <w:sz w:val="24"/>
          <w:szCs w:val="24"/>
          <w:lang w:val="es-MX"/>
        </w:rPr>
        <w:t xml:space="preserve"> y el balance negativo de la cuenta del ingreso primario (-US$562.1 millones).</w:t>
      </w:r>
    </w:p>
    <w:p w:rsidR="00AB33D7" w:rsidRDefault="00AB33D7" w:rsidP="00834829">
      <w:pPr>
        <w:spacing w:after="0" w:line="276" w:lineRule="auto"/>
        <w:jc w:val="both"/>
        <w:rPr>
          <w:rFonts w:ascii="Futura Lt BT" w:hAnsi="Futura Lt BT" w:cs="Courier New"/>
          <w:sz w:val="24"/>
          <w:szCs w:val="24"/>
          <w:lang w:val="es-MX"/>
        </w:rPr>
      </w:pPr>
    </w:p>
    <w:p w:rsidR="007F352D" w:rsidRPr="002B77D4" w:rsidRDefault="007F352D" w:rsidP="007F352D">
      <w:pPr>
        <w:pStyle w:val="Textoindependiente"/>
        <w:rPr>
          <w:b/>
          <w:color w:val="2F5496" w:themeColor="accent1" w:themeShade="BF"/>
        </w:rPr>
      </w:pPr>
      <w:r w:rsidRPr="002B77D4">
        <w:rPr>
          <w:b/>
          <w:color w:val="2F5496" w:themeColor="accent1" w:themeShade="BF"/>
        </w:rPr>
        <w:t>Balanza comercial de bienes y servicios</w:t>
      </w:r>
    </w:p>
    <w:p w:rsidR="002B77D4" w:rsidRDefault="002B77D4" w:rsidP="007F352D">
      <w:pPr>
        <w:pStyle w:val="Textoindependiente"/>
        <w:rPr>
          <w:rFonts w:eastAsiaTheme="minorHAnsi" w:cs="Courier New"/>
          <w:lang w:eastAsia="en-US"/>
        </w:rPr>
      </w:pPr>
      <w:bookmarkStart w:id="4" w:name="_Hlk140141456"/>
    </w:p>
    <w:p w:rsidR="007F352D" w:rsidRPr="00CE546F" w:rsidRDefault="00ED1FF0" w:rsidP="00CE546F">
      <w:pPr>
        <w:spacing w:after="0" w:line="276" w:lineRule="auto"/>
        <w:jc w:val="both"/>
        <w:rPr>
          <w:rFonts w:ascii="Futura Lt BT" w:hAnsi="Futura Lt BT" w:cs="Courier New"/>
          <w:sz w:val="24"/>
          <w:szCs w:val="24"/>
          <w:lang w:val="es-MX"/>
        </w:rPr>
      </w:pPr>
      <w:r w:rsidRPr="00CE546F">
        <w:rPr>
          <w:rFonts w:ascii="Futura Lt BT" w:hAnsi="Futura Lt BT" w:cs="Courier New"/>
          <w:sz w:val="24"/>
          <w:szCs w:val="24"/>
          <w:lang w:val="es-MX"/>
        </w:rPr>
        <w:t xml:space="preserve">La cuenta de bienes y servicios </w:t>
      </w:r>
      <w:r w:rsidR="00CE546F">
        <w:rPr>
          <w:rFonts w:ascii="Futura Lt BT" w:hAnsi="Futura Lt BT" w:cs="Courier New"/>
          <w:sz w:val="24"/>
          <w:szCs w:val="24"/>
          <w:lang w:val="es-MX"/>
        </w:rPr>
        <w:t xml:space="preserve">mostró </w:t>
      </w:r>
      <w:r w:rsidRPr="00CE546F">
        <w:rPr>
          <w:rFonts w:ascii="Futura Lt BT" w:hAnsi="Futura Lt BT" w:cs="Courier New"/>
          <w:sz w:val="24"/>
          <w:szCs w:val="24"/>
          <w:lang w:val="es-MX"/>
        </w:rPr>
        <w:t xml:space="preserve">un déficit de </w:t>
      </w:r>
      <w:r w:rsidR="002C537A" w:rsidRPr="00CE546F">
        <w:rPr>
          <w:rFonts w:ascii="Futura Lt BT" w:hAnsi="Futura Lt BT" w:cs="Courier New"/>
          <w:sz w:val="24"/>
          <w:szCs w:val="24"/>
          <w:lang w:val="es-MX"/>
        </w:rPr>
        <w:t>465</w:t>
      </w:r>
      <w:r w:rsidR="007F352D" w:rsidRPr="00CE546F">
        <w:rPr>
          <w:rFonts w:ascii="Futura Lt BT" w:hAnsi="Futura Lt BT" w:cs="Courier New"/>
          <w:sz w:val="24"/>
          <w:szCs w:val="24"/>
          <w:lang w:val="es-MX"/>
        </w:rPr>
        <w:t>.</w:t>
      </w:r>
      <w:r w:rsidR="002C537A" w:rsidRPr="00CE546F">
        <w:rPr>
          <w:rFonts w:ascii="Futura Lt BT" w:hAnsi="Futura Lt BT" w:cs="Courier New"/>
          <w:sz w:val="24"/>
          <w:szCs w:val="24"/>
          <w:lang w:val="es-MX"/>
        </w:rPr>
        <w:t>2</w:t>
      </w:r>
      <w:r w:rsidR="007F352D" w:rsidRPr="00CE546F">
        <w:rPr>
          <w:rFonts w:ascii="Futura Lt BT" w:hAnsi="Futura Lt BT" w:cs="Courier New"/>
          <w:sz w:val="24"/>
          <w:szCs w:val="24"/>
          <w:lang w:val="es-MX"/>
        </w:rPr>
        <w:t xml:space="preserve"> millones</w:t>
      </w:r>
      <w:r w:rsidRPr="00CE546F">
        <w:rPr>
          <w:rFonts w:ascii="Futura Lt BT" w:hAnsi="Futura Lt BT" w:cs="Courier New"/>
          <w:sz w:val="24"/>
          <w:szCs w:val="24"/>
          <w:lang w:val="es-MX"/>
        </w:rPr>
        <w:t xml:space="preserve"> de dólares</w:t>
      </w:r>
      <w:r w:rsidR="007F352D" w:rsidRPr="00CE546F">
        <w:rPr>
          <w:rFonts w:ascii="Futura Lt BT" w:hAnsi="Futura Lt BT" w:cs="Courier New"/>
          <w:sz w:val="24"/>
          <w:szCs w:val="24"/>
          <w:lang w:val="es-MX"/>
        </w:rPr>
        <w:t xml:space="preserve"> </w:t>
      </w:r>
      <w:r w:rsidRPr="00CE546F">
        <w:rPr>
          <w:rFonts w:ascii="Futura Lt BT" w:hAnsi="Futura Lt BT" w:cs="Courier New"/>
          <w:sz w:val="24"/>
          <w:szCs w:val="24"/>
          <w:lang w:val="es-MX"/>
        </w:rPr>
        <w:t xml:space="preserve">en el </w:t>
      </w:r>
      <w:r w:rsidR="002C537A" w:rsidRPr="00CE546F">
        <w:rPr>
          <w:rFonts w:ascii="Futura Lt BT" w:hAnsi="Futura Lt BT" w:cs="Courier New"/>
          <w:sz w:val="24"/>
          <w:szCs w:val="24"/>
          <w:lang w:val="es-MX"/>
        </w:rPr>
        <w:t>segundo</w:t>
      </w:r>
      <w:r w:rsidRPr="00CE546F">
        <w:rPr>
          <w:rFonts w:ascii="Futura Lt BT" w:hAnsi="Futura Lt BT" w:cs="Courier New"/>
          <w:sz w:val="24"/>
          <w:szCs w:val="24"/>
          <w:lang w:val="es-MX"/>
        </w:rPr>
        <w:t xml:space="preserve"> trimestre de 2023, el cual </w:t>
      </w:r>
      <w:r w:rsidR="00914EEB" w:rsidRPr="00CE546F">
        <w:rPr>
          <w:rFonts w:ascii="Futura Lt BT" w:hAnsi="Futura Lt BT" w:cs="Courier New"/>
          <w:sz w:val="24"/>
          <w:szCs w:val="24"/>
          <w:lang w:val="es-MX"/>
        </w:rPr>
        <w:t xml:space="preserve">fue </w:t>
      </w:r>
      <w:r w:rsidR="00CE546F">
        <w:rPr>
          <w:rFonts w:ascii="Futura Lt BT" w:hAnsi="Futura Lt BT" w:cs="Courier New"/>
          <w:sz w:val="24"/>
          <w:szCs w:val="24"/>
          <w:lang w:val="es-MX"/>
        </w:rPr>
        <w:t xml:space="preserve">superior en 1.1 veces (US$246.3 millones) con respecto al trimestre anterior, pero </w:t>
      </w:r>
      <w:r w:rsidR="00914EEB" w:rsidRPr="00CE546F">
        <w:rPr>
          <w:rFonts w:ascii="Futura Lt BT" w:hAnsi="Futura Lt BT" w:cs="Courier New"/>
          <w:sz w:val="24"/>
          <w:szCs w:val="24"/>
          <w:lang w:val="es-MX"/>
        </w:rPr>
        <w:t>inferior en</w:t>
      </w:r>
      <w:r w:rsidR="007F352D" w:rsidRPr="00CE546F">
        <w:rPr>
          <w:rFonts w:ascii="Futura Lt BT" w:hAnsi="Futura Lt BT" w:cs="Courier New"/>
          <w:sz w:val="24"/>
          <w:szCs w:val="24"/>
          <w:lang w:val="es-MX"/>
        </w:rPr>
        <w:t xml:space="preserve"> </w:t>
      </w:r>
      <w:r w:rsidR="00E06A24" w:rsidRPr="00CE546F">
        <w:rPr>
          <w:rFonts w:ascii="Futura Lt BT" w:hAnsi="Futura Lt BT" w:cs="Courier New"/>
          <w:sz w:val="24"/>
          <w:szCs w:val="24"/>
          <w:lang w:val="es-MX"/>
        </w:rPr>
        <w:t>4.</w:t>
      </w:r>
      <w:r w:rsidR="002C537A" w:rsidRPr="00CE546F">
        <w:rPr>
          <w:rFonts w:ascii="Futura Lt BT" w:hAnsi="Futura Lt BT" w:cs="Courier New"/>
          <w:sz w:val="24"/>
          <w:szCs w:val="24"/>
          <w:lang w:val="es-MX"/>
        </w:rPr>
        <w:t>9</w:t>
      </w:r>
      <w:r w:rsidR="00E06A24" w:rsidRPr="00CE546F">
        <w:rPr>
          <w:rFonts w:ascii="Futura Lt BT" w:hAnsi="Futura Lt BT" w:cs="Courier New"/>
          <w:sz w:val="24"/>
          <w:szCs w:val="24"/>
          <w:lang w:val="es-MX"/>
        </w:rPr>
        <w:t xml:space="preserve"> por ciento (-US$</w:t>
      </w:r>
      <w:r w:rsidR="002C537A" w:rsidRPr="00CE546F">
        <w:rPr>
          <w:rFonts w:ascii="Futura Lt BT" w:hAnsi="Futura Lt BT" w:cs="Courier New"/>
          <w:sz w:val="24"/>
          <w:szCs w:val="24"/>
          <w:lang w:val="es-MX"/>
        </w:rPr>
        <w:t>24</w:t>
      </w:r>
      <w:r w:rsidR="007F352D" w:rsidRPr="00CE546F">
        <w:rPr>
          <w:rFonts w:ascii="Futura Lt BT" w:hAnsi="Futura Lt BT" w:cs="Courier New"/>
          <w:sz w:val="24"/>
          <w:szCs w:val="24"/>
          <w:lang w:val="es-MX"/>
        </w:rPr>
        <w:t>.</w:t>
      </w:r>
      <w:r w:rsidR="002C537A" w:rsidRPr="00CE546F">
        <w:rPr>
          <w:rFonts w:ascii="Futura Lt BT" w:hAnsi="Futura Lt BT" w:cs="Courier New"/>
          <w:sz w:val="24"/>
          <w:szCs w:val="24"/>
          <w:lang w:val="es-MX"/>
        </w:rPr>
        <w:t>0</w:t>
      </w:r>
      <w:r w:rsidR="007F352D" w:rsidRPr="00CE546F">
        <w:rPr>
          <w:rFonts w:ascii="Futura Lt BT" w:hAnsi="Futura Lt BT" w:cs="Courier New"/>
          <w:sz w:val="24"/>
          <w:szCs w:val="24"/>
          <w:lang w:val="es-MX"/>
        </w:rPr>
        <w:t xml:space="preserve"> millones</w:t>
      </w:r>
      <w:r w:rsidR="00E06A24" w:rsidRPr="00CE546F">
        <w:rPr>
          <w:rFonts w:ascii="Futura Lt BT" w:hAnsi="Futura Lt BT" w:cs="Courier New"/>
          <w:sz w:val="24"/>
          <w:szCs w:val="24"/>
          <w:lang w:val="es-MX"/>
        </w:rPr>
        <w:t>)</w:t>
      </w:r>
      <w:r w:rsidR="007F352D" w:rsidRPr="00CE546F">
        <w:rPr>
          <w:rFonts w:ascii="Futura Lt BT" w:hAnsi="Futura Lt BT" w:cs="Courier New"/>
          <w:sz w:val="24"/>
          <w:szCs w:val="24"/>
          <w:lang w:val="es-MX"/>
        </w:rPr>
        <w:t xml:space="preserve"> al </w:t>
      </w:r>
      <w:r w:rsidR="00914EEB" w:rsidRPr="00CE546F">
        <w:rPr>
          <w:rFonts w:ascii="Futura Lt BT" w:hAnsi="Futura Lt BT" w:cs="Courier New"/>
          <w:sz w:val="24"/>
          <w:szCs w:val="24"/>
          <w:lang w:val="es-MX"/>
        </w:rPr>
        <w:t xml:space="preserve">registrado en el </w:t>
      </w:r>
      <w:r w:rsidR="002C537A" w:rsidRPr="00CE546F">
        <w:rPr>
          <w:rFonts w:ascii="Futura Lt BT" w:hAnsi="Futura Lt BT" w:cs="Courier New"/>
          <w:sz w:val="24"/>
          <w:szCs w:val="24"/>
          <w:lang w:val="es-MX"/>
        </w:rPr>
        <w:t>segundo</w:t>
      </w:r>
      <w:r w:rsidR="007F352D" w:rsidRPr="00CE546F">
        <w:rPr>
          <w:rFonts w:ascii="Futura Lt BT" w:hAnsi="Futura Lt BT" w:cs="Courier New"/>
          <w:sz w:val="24"/>
          <w:szCs w:val="24"/>
          <w:lang w:val="es-MX"/>
        </w:rPr>
        <w:t xml:space="preserve"> trimestre de 2022</w:t>
      </w:r>
      <w:r w:rsidR="00914EEB" w:rsidRPr="00CE546F">
        <w:rPr>
          <w:rFonts w:ascii="Futura Lt BT" w:hAnsi="Futura Lt BT" w:cs="Courier New"/>
          <w:sz w:val="24"/>
          <w:szCs w:val="24"/>
          <w:lang w:val="es-MX"/>
        </w:rPr>
        <w:t xml:space="preserve"> </w:t>
      </w:r>
      <w:r w:rsidR="007F352D" w:rsidRPr="00CE546F">
        <w:rPr>
          <w:rFonts w:ascii="Futura Lt BT" w:hAnsi="Futura Lt BT" w:cs="Courier New"/>
          <w:sz w:val="24"/>
          <w:szCs w:val="24"/>
          <w:lang w:val="es-MX"/>
        </w:rPr>
        <w:t>(</w:t>
      </w:r>
      <w:r w:rsidR="00914EEB" w:rsidRPr="00CE546F">
        <w:rPr>
          <w:rFonts w:ascii="Futura Lt BT" w:hAnsi="Futura Lt BT" w:cs="Courier New"/>
          <w:sz w:val="24"/>
          <w:szCs w:val="24"/>
          <w:lang w:val="es-MX"/>
        </w:rPr>
        <w:t>-</w:t>
      </w:r>
      <w:r w:rsidR="007F352D" w:rsidRPr="00CE546F">
        <w:rPr>
          <w:rFonts w:ascii="Futura Lt BT" w:hAnsi="Futura Lt BT" w:cs="Courier New"/>
          <w:sz w:val="24"/>
          <w:szCs w:val="24"/>
          <w:lang w:val="es-MX"/>
        </w:rPr>
        <w:t>US$</w:t>
      </w:r>
      <w:r w:rsidR="002C537A" w:rsidRPr="00CE546F">
        <w:rPr>
          <w:rFonts w:ascii="Futura Lt BT" w:hAnsi="Futura Lt BT" w:cs="Courier New"/>
          <w:sz w:val="24"/>
          <w:szCs w:val="24"/>
          <w:lang w:val="es-MX"/>
        </w:rPr>
        <w:t>489</w:t>
      </w:r>
      <w:r w:rsidR="007F352D" w:rsidRPr="00CE546F">
        <w:rPr>
          <w:rFonts w:ascii="Futura Lt BT" w:hAnsi="Futura Lt BT" w:cs="Courier New"/>
          <w:sz w:val="24"/>
          <w:szCs w:val="24"/>
          <w:lang w:val="es-MX"/>
        </w:rPr>
        <w:t>.2 millones)</w:t>
      </w:r>
      <w:bookmarkEnd w:id="4"/>
      <w:r w:rsidR="007F352D" w:rsidRPr="00CE546F">
        <w:rPr>
          <w:rFonts w:ascii="Futura Lt BT" w:hAnsi="Futura Lt BT" w:cs="Courier New"/>
          <w:sz w:val="24"/>
          <w:szCs w:val="24"/>
          <w:lang w:val="es-MX"/>
        </w:rPr>
        <w:t xml:space="preserve">. </w:t>
      </w:r>
    </w:p>
    <w:p w:rsidR="002B77D4" w:rsidRPr="00CE546F" w:rsidRDefault="002B77D4" w:rsidP="00CE546F">
      <w:pPr>
        <w:spacing w:after="0" w:line="276" w:lineRule="auto"/>
        <w:jc w:val="both"/>
        <w:rPr>
          <w:rFonts w:ascii="Futura Lt BT" w:hAnsi="Futura Lt BT" w:cs="Courier New"/>
          <w:sz w:val="24"/>
          <w:szCs w:val="24"/>
          <w:lang w:val="es-MX"/>
        </w:rPr>
      </w:pPr>
    </w:p>
    <w:p w:rsidR="002B77D4" w:rsidRDefault="002B77D4" w:rsidP="00CE546F">
      <w:pPr>
        <w:spacing w:after="0" w:line="276" w:lineRule="auto"/>
        <w:jc w:val="both"/>
        <w:rPr>
          <w:rFonts w:ascii="Futura Lt BT" w:hAnsi="Futura Lt BT" w:cs="Courier New"/>
          <w:sz w:val="24"/>
          <w:szCs w:val="24"/>
          <w:lang w:val="es-MX"/>
        </w:rPr>
      </w:pPr>
      <w:r w:rsidRPr="00CE546F">
        <w:rPr>
          <w:rFonts w:ascii="Futura Lt BT" w:hAnsi="Futura Lt BT" w:cs="Courier New"/>
          <w:sz w:val="24"/>
          <w:szCs w:val="24"/>
          <w:lang w:val="es-MX"/>
        </w:rPr>
        <w:t xml:space="preserve">En términos acumulados, el balance comercial de bienes y servicios resultó en un déficit </w:t>
      </w:r>
      <w:r w:rsidR="00E41461" w:rsidRPr="00CE546F">
        <w:rPr>
          <w:rFonts w:ascii="Futura Lt BT" w:hAnsi="Futura Lt BT" w:cs="Courier New"/>
          <w:sz w:val="24"/>
          <w:szCs w:val="24"/>
          <w:lang w:val="es-MX"/>
        </w:rPr>
        <w:t>de 684.1</w:t>
      </w:r>
      <w:r w:rsidRPr="00CE546F">
        <w:rPr>
          <w:rFonts w:ascii="Futura Lt BT" w:hAnsi="Futura Lt BT" w:cs="Courier New"/>
          <w:sz w:val="24"/>
          <w:szCs w:val="24"/>
          <w:lang w:val="es-MX"/>
        </w:rPr>
        <w:t xml:space="preserve"> millones de dólares en el primer semestre de 2023 (-US$949.4 millones en el primer semestre de 2022), debido principalmente al balance negativo de comercio de bienes (-US$855.0 millones), que fue atenuado por el superávit en el comercio de servicios de 170.9 millones de dólares. </w:t>
      </w:r>
    </w:p>
    <w:p w:rsidR="00CE546F" w:rsidRDefault="00CE546F" w:rsidP="00CE546F">
      <w:pPr>
        <w:spacing w:after="0" w:line="276" w:lineRule="auto"/>
        <w:jc w:val="both"/>
        <w:rPr>
          <w:rFonts w:ascii="Futura Lt BT" w:hAnsi="Futura Lt BT" w:cs="Courier New"/>
          <w:sz w:val="24"/>
          <w:szCs w:val="24"/>
          <w:lang w:val="es-MX"/>
        </w:rPr>
      </w:pPr>
    </w:p>
    <w:p w:rsidR="00CE546F" w:rsidRDefault="00CE546F" w:rsidP="00CE546F">
      <w:pPr>
        <w:spacing w:after="0" w:line="276" w:lineRule="auto"/>
        <w:jc w:val="both"/>
        <w:rPr>
          <w:rFonts w:ascii="Futura Lt BT" w:hAnsi="Futura Lt BT" w:cs="Courier New"/>
          <w:sz w:val="24"/>
          <w:szCs w:val="24"/>
          <w:lang w:val="es-MX"/>
        </w:rPr>
      </w:pPr>
      <w:r w:rsidRPr="00FD4006">
        <w:rPr>
          <w:rFonts w:ascii="Futura Lt BT" w:hAnsi="Futura Lt BT" w:cs="Courier New"/>
          <w:sz w:val="24"/>
          <w:szCs w:val="24"/>
          <w:lang w:val="es-MX"/>
        </w:rPr>
        <w:t xml:space="preserve">Los términos de intercambio evolucionaron favorables en el periodo enero-junio, al registrar un aumento promedio de </w:t>
      </w:r>
      <w:r w:rsidR="008E2A7B" w:rsidRPr="00FD4006">
        <w:rPr>
          <w:rFonts w:ascii="Futura Lt BT" w:hAnsi="Futura Lt BT" w:cs="Courier New"/>
          <w:sz w:val="24"/>
          <w:szCs w:val="24"/>
          <w:lang w:val="es-MX"/>
        </w:rPr>
        <w:t>10.8</w:t>
      </w:r>
      <w:r w:rsidRPr="00FD4006">
        <w:rPr>
          <w:rFonts w:ascii="Futura Lt BT" w:hAnsi="Futura Lt BT" w:cs="Courier New"/>
          <w:sz w:val="24"/>
          <w:szCs w:val="24"/>
          <w:lang w:val="es-MX"/>
        </w:rPr>
        <w:t xml:space="preserve"> por ciento, siendo resultado de un incremento en los precios contratados de las exportaciones </w:t>
      </w:r>
      <w:r w:rsidR="00F73AE1" w:rsidRPr="00FD4006">
        <w:rPr>
          <w:rFonts w:ascii="Futura Lt BT" w:hAnsi="Futura Lt BT" w:cs="Courier New"/>
          <w:sz w:val="24"/>
          <w:szCs w:val="24"/>
          <w:lang w:val="es-MX"/>
        </w:rPr>
        <w:t xml:space="preserve">de </w:t>
      </w:r>
      <w:r w:rsidR="00D070DD" w:rsidRPr="00FD4006">
        <w:rPr>
          <w:rFonts w:ascii="Futura Lt BT" w:hAnsi="Futura Lt BT" w:cs="Courier New"/>
          <w:sz w:val="24"/>
          <w:szCs w:val="24"/>
          <w:lang w:val="es-MX"/>
        </w:rPr>
        <w:t>2.4</w:t>
      </w:r>
      <w:r w:rsidR="00F73AE1" w:rsidRPr="00FD4006">
        <w:rPr>
          <w:rFonts w:ascii="Futura Lt BT" w:hAnsi="Futura Lt BT" w:cs="Courier New"/>
          <w:sz w:val="24"/>
          <w:szCs w:val="24"/>
          <w:lang w:val="es-MX"/>
        </w:rPr>
        <w:t xml:space="preserve"> por ciento, y una disminución de los precios de bienes importados de </w:t>
      </w:r>
      <w:r w:rsidR="00D070DD" w:rsidRPr="00FD4006">
        <w:rPr>
          <w:rFonts w:ascii="Futura Lt BT" w:hAnsi="Futura Lt BT" w:cs="Courier New"/>
          <w:sz w:val="24"/>
          <w:szCs w:val="24"/>
          <w:lang w:val="es-MX"/>
        </w:rPr>
        <w:t>7</w:t>
      </w:r>
      <w:r w:rsidR="00F73AE1" w:rsidRPr="00FD4006">
        <w:rPr>
          <w:rFonts w:ascii="Futura Lt BT" w:hAnsi="Futura Lt BT" w:cs="Courier New"/>
          <w:sz w:val="24"/>
          <w:szCs w:val="24"/>
          <w:lang w:val="es-MX"/>
        </w:rPr>
        <w:t>.</w:t>
      </w:r>
      <w:r w:rsidR="00D070DD" w:rsidRPr="00FD4006">
        <w:rPr>
          <w:rFonts w:ascii="Futura Lt BT" w:hAnsi="Futura Lt BT" w:cs="Courier New"/>
          <w:sz w:val="24"/>
          <w:szCs w:val="24"/>
          <w:lang w:val="es-MX"/>
        </w:rPr>
        <w:t>6</w:t>
      </w:r>
      <w:r w:rsidR="00F73AE1" w:rsidRPr="00FD4006">
        <w:rPr>
          <w:rFonts w:ascii="Futura Lt BT" w:hAnsi="Futura Lt BT" w:cs="Courier New"/>
          <w:sz w:val="24"/>
          <w:szCs w:val="24"/>
          <w:lang w:val="es-MX"/>
        </w:rPr>
        <w:t xml:space="preserve"> por ciento.</w:t>
      </w:r>
    </w:p>
    <w:p w:rsidR="0095052E" w:rsidRPr="00CE546F" w:rsidRDefault="00473332" w:rsidP="00CE546F">
      <w:pPr>
        <w:spacing w:after="0" w:line="276" w:lineRule="auto"/>
        <w:jc w:val="both"/>
        <w:rPr>
          <w:rFonts w:ascii="Futura Lt BT" w:hAnsi="Futura Lt BT" w:cs="Courier New"/>
          <w:sz w:val="24"/>
          <w:szCs w:val="24"/>
          <w:lang w:val="es-MX"/>
        </w:rPr>
      </w:pPr>
      <w:r w:rsidRPr="00473332">
        <w:rPr>
          <w:noProof/>
        </w:rPr>
        <w:drawing>
          <wp:anchor distT="0" distB="0" distL="114300" distR="114300" simplePos="0" relativeHeight="251771904" behindDoc="0" locked="0" layoutInCell="1" allowOverlap="1">
            <wp:simplePos x="0" y="0"/>
            <wp:positionH relativeFrom="margin">
              <wp:posOffset>3155112</wp:posOffset>
            </wp:positionH>
            <wp:positionV relativeFrom="paragraph">
              <wp:posOffset>172568</wp:posOffset>
            </wp:positionV>
            <wp:extent cx="2311400" cy="2188210"/>
            <wp:effectExtent l="0" t="0" r="0"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400" cy="2188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352D" w:rsidRPr="007F352D" w:rsidRDefault="00F73AE1" w:rsidP="007F352D">
      <w:pPr>
        <w:pStyle w:val="Textoindependiente"/>
        <w:rPr>
          <w:rFonts w:eastAsiaTheme="minorHAnsi" w:cs="Courier New"/>
          <w:lang w:eastAsia="en-US"/>
        </w:rPr>
      </w:pPr>
      <w:r w:rsidRPr="00A11D3D">
        <w:rPr>
          <w:rFonts w:eastAsiaTheme="minorHAnsi"/>
          <w:noProof/>
        </w:rPr>
        <w:drawing>
          <wp:anchor distT="0" distB="0" distL="114300" distR="114300" simplePos="0" relativeHeight="251767808" behindDoc="0" locked="0" layoutInCell="1" allowOverlap="1">
            <wp:simplePos x="0" y="0"/>
            <wp:positionH relativeFrom="margin">
              <wp:posOffset>5715</wp:posOffset>
            </wp:positionH>
            <wp:positionV relativeFrom="paragraph">
              <wp:posOffset>0</wp:posOffset>
            </wp:positionV>
            <wp:extent cx="2819400" cy="21526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3AE1" w:rsidRDefault="00F73AE1" w:rsidP="007F352D">
      <w:pPr>
        <w:pStyle w:val="Textoindependiente"/>
        <w:rPr>
          <w:rFonts w:cs="Courier New"/>
        </w:rPr>
      </w:pPr>
    </w:p>
    <w:p w:rsidR="007F352D" w:rsidRDefault="007F352D" w:rsidP="000200A3">
      <w:pPr>
        <w:pStyle w:val="Textoindependiente"/>
        <w:spacing w:line="276" w:lineRule="auto"/>
      </w:pPr>
      <w:r w:rsidRPr="007F352D">
        <w:rPr>
          <w:rFonts w:cs="Courier New"/>
        </w:rPr>
        <w:t xml:space="preserve">En el </w:t>
      </w:r>
      <w:r w:rsidR="004A07C0">
        <w:rPr>
          <w:rFonts w:cs="Courier New"/>
        </w:rPr>
        <w:t xml:space="preserve">segundo </w:t>
      </w:r>
      <w:r w:rsidRPr="007F352D">
        <w:rPr>
          <w:rFonts w:cs="Courier New"/>
        </w:rPr>
        <w:t>trimestre, las exportaciones de bienes (US$1,7</w:t>
      </w:r>
      <w:r w:rsidR="00486442">
        <w:rPr>
          <w:rFonts w:cs="Courier New"/>
        </w:rPr>
        <w:t>65</w:t>
      </w:r>
      <w:r w:rsidRPr="007F352D">
        <w:rPr>
          <w:rFonts w:cs="Courier New"/>
        </w:rPr>
        <w:t>.</w:t>
      </w:r>
      <w:r w:rsidR="00486442">
        <w:rPr>
          <w:rFonts w:cs="Courier New"/>
        </w:rPr>
        <w:t>6</w:t>
      </w:r>
      <w:r w:rsidRPr="007F352D">
        <w:rPr>
          <w:rFonts w:cs="Courier New"/>
        </w:rPr>
        <w:t xml:space="preserve"> millones) reflejaron crecimiento</w:t>
      </w:r>
      <w:r w:rsidR="00526784">
        <w:rPr>
          <w:rFonts w:cs="Courier New"/>
        </w:rPr>
        <w:t xml:space="preserve"> interanual </w:t>
      </w:r>
      <w:r w:rsidRPr="007F352D">
        <w:rPr>
          <w:rFonts w:cs="Courier New"/>
        </w:rPr>
        <w:t xml:space="preserve">de </w:t>
      </w:r>
      <w:r w:rsidR="00486442">
        <w:rPr>
          <w:rFonts w:cs="Courier New"/>
        </w:rPr>
        <w:t>3.0</w:t>
      </w:r>
      <w:r w:rsidRPr="007F352D">
        <w:rPr>
          <w:rFonts w:cs="Courier New"/>
        </w:rPr>
        <w:t xml:space="preserve"> por ciento </w:t>
      </w:r>
      <w:r w:rsidR="00526784">
        <w:rPr>
          <w:rFonts w:cs="Courier New"/>
        </w:rPr>
        <w:t>(</w:t>
      </w:r>
      <w:r w:rsidRPr="007F352D">
        <w:rPr>
          <w:rFonts w:cs="Courier New"/>
        </w:rPr>
        <w:t>US$1,</w:t>
      </w:r>
      <w:r w:rsidR="00486442">
        <w:rPr>
          <w:rFonts w:cs="Courier New"/>
        </w:rPr>
        <w:t>71</w:t>
      </w:r>
      <w:r w:rsidRPr="007F352D">
        <w:rPr>
          <w:rFonts w:cs="Courier New"/>
        </w:rPr>
        <w:t>3.</w:t>
      </w:r>
      <w:r w:rsidR="00486442">
        <w:rPr>
          <w:rFonts w:cs="Courier New"/>
        </w:rPr>
        <w:t>6</w:t>
      </w:r>
      <w:r w:rsidRPr="007F352D">
        <w:rPr>
          <w:rFonts w:cs="Courier New"/>
        </w:rPr>
        <w:t xml:space="preserve"> millones</w:t>
      </w:r>
      <w:r w:rsidR="00526784">
        <w:rPr>
          <w:rFonts w:cs="Courier New"/>
        </w:rPr>
        <w:t xml:space="preserve"> en </w:t>
      </w:r>
      <w:r w:rsidR="00486442">
        <w:rPr>
          <w:rFonts w:cs="Courier New"/>
        </w:rPr>
        <w:t>I</w:t>
      </w:r>
      <w:r w:rsidR="00526784">
        <w:rPr>
          <w:rFonts w:cs="Courier New"/>
        </w:rPr>
        <w:t>I trimestre 2022</w:t>
      </w:r>
      <w:r w:rsidRPr="007F352D">
        <w:rPr>
          <w:rFonts w:cs="Courier New"/>
        </w:rPr>
        <w:t xml:space="preserve">), impulsadas por el dinamismo de las exportaciones de los sectores </w:t>
      </w:r>
      <w:r w:rsidR="00331348">
        <w:rPr>
          <w:rFonts w:cs="Courier New"/>
        </w:rPr>
        <w:t xml:space="preserve">de: </w:t>
      </w:r>
      <w:r w:rsidR="008E5315">
        <w:rPr>
          <w:rFonts w:cs="Courier New"/>
        </w:rPr>
        <w:t>pes</w:t>
      </w:r>
      <w:r w:rsidR="00331348">
        <w:rPr>
          <w:rFonts w:cs="Courier New"/>
        </w:rPr>
        <w:t>ca</w:t>
      </w:r>
      <w:r w:rsidR="008E5315">
        <w:rPr>
          <w:rFonts w:cs="Courier New"/>
        </w:rPr>
        <w:t xml:space="preserve"> </w:t>
      </w:r>
      <w:r w:rsidRPr="007F352D">
        <w:rPr>
          <w:rFonts w:cs="Courier New"/>
        </w:rPr>
        <w:t>(7.</w:t>
      </w:r>
      <w:r w:rsidR="008E5315">
        <w:rPr>
          <w:rFonts w:cs="Courier New"/>
        </w:rPr>
        <w:t>3</w:t>
      </w:r>
      <w:r w:rsidRPr="007F352D">
        <w:rPr>
          <w:rFonts w:cs="Courier New"/>
        </w:rPr>
        <w:t>%)</w:t>
      </w:r>
      <w:r w:rsidR="00526784">
        <w:rPr>
          <w:rFonts w:cs="Courier New"/>
        </w:rPr>
        <w:t xml:space="preserve"> </w:t>
      </w:r>
      <w:r w:rsidR="008E5315">
        <w:rPr>
          <w:rFonts w:cs="Courier New"/>
        </w:rPr>
        <w:t>y</w:t>
      </w:r>
      <w:r w:rsidR="00526784">
        <w:rPr>
          <w:rFonts w:cs="Courier New"/>
        </w:rPr>
        <w:t xml:space="preserve"> </w:t>
      </w:r>
      <w:r w:rsidR="008E5315">
        <w:rPr>
          <w:rFonts w:cs="Courier New"/>
        </w:rPr>
        <w:t>minería</w:t>
      </w:r>
      <w:r w:rsidRPr="007F352D">
        <w:rPr>
          <w:rFonts w:cs="Courier New"/>
        </w:rPr>
        <w:t xml:space="preserve"> (</w:t>
      </w:r>
      <w:r w:rsidR="008E5315">
        <w:rPr>
          <w:rFonts w:cs="Courier New"/>
        </w:rPr>
        <w:t>3</w:t>
      </w:r>
      <w:r w:rsidRPr="007F352D">
        <w:rPr>
          <w:rFonts w:cs="Courier New"/>
        </w:rPr>
        <w:t>.</w:t>
      </w:r>
      <w:r w:rsidR="008E5315">
        <w:rPr>
          <w:rFonts w:cs="Courier New"/>
        </w:rPr>
        <w:t>0</w:t>
      </w:r>
      <w:r w:rsidRPr="007F352D">
        <w:rPr>
          <w:rFonts w:cs="Courier New"/>
        </w:rPr>
        <w:t xml:space="preserve">%), </w:t>
      </w:r>
      <w:r w:rsidR="00331348">
        <w:rPr>
          <w:rFonts w:cs="Courier New"/>
        </w:rPr>
        <w:t xml:space="preserve">atenuado </w:t>
      </w:r>
      <w:r w:rsidRPr="007F352D">
        <w:rPr>
          <w:rFonts w:cs="Courier New"/>
        </w:rPr>
        <w:t>por la</w:t>
      </w:r>
      <w:r w:rsidR="00331348">
        <w:rPr>
          <w:rFonts w:cs="Courier New"/>
        </w:rPr>
        <w:t>s</w:t>
      </w:r>
      <w:r w:rsidRPr="007F352D">
        <w:rPr>
          <w:rFonts w:cs="Courier New"/>
        </w:rPr>
        <w:t xml:space="preserve"> disminuci</w:t>
      </w:r>
      <w:r w:rsidR="00331348">
        <w:rPr>
          <w:rFonts w:cs="Courier New"/>
        </w:rPr>
        <w:t>ones e</w:t>
      </w:r>
      <w:r w:rsidRPr="007F352D">
        <w:rPr>
          <w:rFonts w:cs="Courier New"/>
        </w:rPr>
        <w:t xml:space="preserve">n </w:t>
      </w:r>
      <w:r w:rsidR="00890607">
        <w:rPr>
          <w:rFonts w:cs="Courier New"/>
        </w:rPr>
        <w:t xml:space="preserve">los </w:t>
      </w:r>
      <w:r w:rsidRPr="007F352D">
        <w:rPr>
          <w:rFonts w:cs="Courier New"/>
        </w:rPr>
        <w:t>sector</w:t>
      </w:r>
      <w:r w:rsidR="00890607">
        <w:rPr>
          <w:rFonts w:cs="Courier New"/>
        </w:rPr>
        <w:t>es</w:t>
      </w:r>
      <w:r w:rsidRPr="007F352D">
        <w:rPr>
          <w:rFonts w:cs="Courier New"/>
        </w:rPr>
        <w:t xml:space="preserve"> </w:t>
      </w:r>
      <w:r w:rsidR="00331348">
        <w:rPr>
          <w:rFonts w:cs="Courier New"/>
        </w:rPr>
        <w:t xml:space="preserve">de: industria manufacturera </w:t>
      </w:r>
      <w:r w:rsidRPr="007F352D">
        <w:rPr>
          <w:rFonts w:cs="Courier New"/>
        </w:rPr>
        <w:t>(-</w:t>
      </w:r>
      <w:r w:rsidR="008E5315">
        <w:rPr>
          <w:rFonts w:cs="Courier New"/>
        </w:rPr>
        <w:t>7</w:t>
      </w:r>
      <w:r w:rsidRPr="007F352D">
        <w:rPr>
          <w:rFonts w:cs="Courier New"/>
        </w:rPr>
        <w:t>.</w:t>
      </w:r>
      <w:r w:rsidR="008E5315">
        <w:rPr>
          <w:rFonts w:cs="Courier New"/>
        </w:rPr>
        <w:t>8</w:t>
      </w:r>
      <w:r w:rsidRPr="007F352D">
        <w:rPr>
          <w:rFonts w:cs="Courier New"/>
        </w:rPr>
        <w:t>%) y agropecuario (-2.</w:t>
      </w:r>
      <w:r w:rsidR="008E5315">
        <w:rPr>
          <w:rFonts w:cs="Courier New"/>
        </w:rPr>
        <w:t>7</w:t>
      </w:r>
      <w:r w:rsidRPr="007F352D">
        <w:rPr>
          <w:rFonts w:cs="Courier New"/>
        </w:rPr>
        <w:t>%). Por su parte, las exportaciones de servicios</w:t>
      </w:r>
      <w:r>
        <w:rPr>
          <w:rFonts w:cs="Courier New"/>
        </w:rPr>
        <w:t xml:space="preserve"> </w:t>
      </w:r>
      <w:r>
        <w:t>(US$34</w:t>
      </w:r>
      <w:r w:rsidR="008E5315">
        <w:t>1</w:t>
      </w:r>
      <w:r>
        <w:t>.</w:t>
      </w:r>
      <w:r w:rsidR="008E5315">
        <w:t>9</w:t>
      </w:r>
      <w:r>
        <w:t xml:space="preserve"> millones) mostraron un</w:t>
      </w:r>
      <w:r w:rsidR="008E5315">
        <w:t>a</w:t>
      </w:r>
      <w:r>
        <w:t xml:space="preserve"> </w:t>
      </w:r>
      <w:r w:rsidR="008E5315">
        <w:t>disminución</w:t>
      </w:r>
      <w:r>
        <w:t xml:space="preserve"> interanual de </w:t>
      </w:r>
      <w:r w:rsidR="008E5315">
        <w:t>12</w:t>
      </w:r>
      <w:r>
        <w:t>.9 por ciento (US$3</w:t>
      </w:r>
      <w:r w:rsidR="008E5315">
        <w:t>9</w:t>
      </w:r>
      <w:r>
        <w:t>2.</w:t>
      </w:r>
      <w:r w:rsidR="008E5315">
        <w:t>5</w:t>
      </w:r>
      <w:r>
        <w:t xml:space="preserve"> millones en </w:t>
      </w:r>
      <w:r w:rsidR="008E5315">
        <w:t>I</w:t>
      </w:r>
      <w:r>
        <w:t xml:space="preserve">I trimestre de 2022), debido principalmente a la </w:t>
      </w:r>
      <w:r w:rsidR="00C45E53">
        <w:t>disminución</w:t>
      </w:r>
      <w:r>
        <w:t xml:space="preserve"> de los ingresos de</w:t>
      </w:r>
      <w:r w:rsidR="00CE5E6C">
        <w:t xml:space="preserve"> </w:t>
      </w:r>
      <w:r w:rsidR="00C94B15">
        <w:t>los servicios de</w:t>
      </w:r>
      <w:r>
        <w:t xml:space="preserve"> </w:t>
      </w:r>
      <w:r w:rsidR="00CE5E6C">
        <w:t>manufactura</w:t>
      </w:r>
      <w:r>
        <w:t xml:space="preserve"> (</w:t>
      </w:r>
      <w:r w:rsidR="000E1986">
        <w:t>-</w:t>
      </w:r>
      <w:r w:rsidR="00CE5E6C">
        <w:t>46</w:t>
      </w:r>
      <w:r w:rsidR="008E5315">
        <w:t>.</w:t>
      </w:r>
      <w:r w:rsidR="00CE5E6C">
        <w:t>8</w:t>
      </w:r>
      <w:r w:rsidRPr="00BF5825">
        <w:t>%</w:t>
      </w:r>
      <w:r>
        <w:t>).</w:t>
      </w:r>
    </w:p>
    <w:p w:rsidR="00526784" w:rsidRPr="00B27D97" w:rsidRDefault="002A4E67" w:rsidP="007F352D">
      <w:pPr>
        <w:pStyle w:val="Textoindependiente"/>
      </w:pPr>
      <w:r w:rsidRPr="002A4E67">
        <w:rPr>
          <w:noProof/>
        </w:rPr>
        <w:lastRenderedPageBreak/>
        <w:drawing>
          <wp:anchor distT="0" distB="0" distL="114300" distR="114300" simplePos="0" relativeHeight="251772928" behindDoc="0" locked="0" layoutInCell="1" allowOverlap="1">
            <wp:simplePos x="0" y="0"/>
            <wp:positionH relativeFrom="margin">
              <wp:posOffset>-49073</wp:posOffset>
            </wp:positionH>
            <wp:positionV relativeFrom="paragraph">
              <wp:posOffset>305969</wp:posOffset>
            </wp:positionV>
            <wp:extent cx="2807335" cy="2054860"/>
            <wp:effectExtent l="0" t="0" r="0" b="254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7335" cy="2054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4B29">
        <w:rPr>
          <w:noProof/>
        </w:rPr>
        <w:drawing>
          <wp:anchor distT="0" distB="0" distL="114300" distR="114300" simplePos="0" relativeHeight="251759616" behindDoc="0" locked="0" layoutInCell="1" allowOverlap="1">
            <wp:simplePos x="0" y="0"/>
            <wp:positionH relativeFrom="margin">
              <wp:align>right</wp:align>
            </wp:positionH>
            <wp:positionV relativeFrom="paragraph">
              <wp:posOffset>207518</wp:posOffset>
            </wp:positionV>
            <wp:extent cx="2758440" cy="2276475"/>
            <wp:effectExtent l="0" t="0" r="0" b="952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8440"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052E" w:rsidRDefault="0095052E" w:rsidP="004908B3">
      <w:pPr>
        <w:spacing w:after="0" w:line="276" w:lineRule="auto"/>
        <w:jc w:val="both"/>
        <w:rPr>
          <w:rFonts w:ascii="Futura Lt BT" w:hAnsi="Futura Lt BT" w:cs="Courier New"/>
          <w:sz w:val="24"/>
          <w:szCs w:val="24"/>
          <w:lang w:val="es-MX"/>
        </w:rPr>
      </w:pPr>
    </w:p>
    <w:p w:rsidR="00834829" w:rsidRDefault="007F352D" w:rsidP="004908B3">
      <w:pPr>
        <w:spacing w:after="0" w:line="276" w:lineRule="auto"/>
        <w:jc w:val="both"/>
        <w:rPr>
          <w:rFonts w:ascii="Futura Lt BT" w:hAnsi="Futura Lt BT" w:cs="Courier New"/>
          <w:sz w:val="24"/>
          <w:szCs w:val="24"/>
          <w:lang w:val="es-MX"/>
        </w:rPr>
      </w:pPr>
      <w:r w:rsidRPr="0052208F">
        <w:rPr>
          <w:rFonts w:ascii="Futura Lt BT" w:hAnsi="Futura Lt BT" w:cs="Courier New"/>
          <w:sz w:val="24"/>
          <w:szCs w:val="24"/>
          <w:lang w:val="es-MX"/>
        </w:rPr>
        <w:t>Las importaciones de bienes</w:t>
      </w:r>
      <w:r w:rsidRPr="0052208F">
        <w:rPr>
          <w:rFonts w:ascii="Futura Lt BT" w:hAnsi="Futura Lt BT" w:cs="Courier New"/>
          <w:sz w:val="24"/>
          <w:szCs w:val="24"/>
          <w:vertAlign w:val="superscript"/>
          <w:lang w:val="es-MX"/>
        </w:rPr>
        <w:footnoteReference w:id="2"/>
      </w:r>
      <w:r w:rsidRPr="0052208F">
        <w:rPr>
          <w:rFonts w:ascii="Futura Lt BT" w:hAnsi="Futura Lt BT" w:cs="Courier New"/>
          <w:sz w:val="24"/>
          <w:szCs w:val="24"/>
          <w:lang w:val="es-MX"/>
        </w:rPr>
        <w:t xml:space="preserve"> fueron de 2,</w:t>
      </w:r>
      <w:r w:rsidR="0075213D">
        <w:rPr>
          <w:rFonts w:ascii="Futura Lt BT" w:hAnsi="Futura Lt BT" w:cs="Courier New"/>
          <w:sz w:val="24"/>
          <w:szCs w:val="24"/>
          <w:lang w:val="es-MX"/>
        </w:rPr>
        <w:t>3</w:t>
      </w:r>
      <w:r w:rsidR="00BE69DE" w:rsidRPr="0052208F">
        <w:rPr>
          <w:rFonts w:ascii="Futura Lt BT" w:hAnsi="Futura Lt BT" w:cs="Courier New"/>
          <w:sz w:val="24"/>
          <w:szCs w:val="24"/>
          <w:lang w:val="es-MX"/>
        </w:rPr>
        <w:t>0</w:t>
      </w:r>
      <w:r w:rsidR="0075213D">
        <w:rPr>
          <w:rFonts w:ascii="Futura Lt BT" w:hAnsi="Futura Lt BT" w:cs="Courier New"/>
          <w:sz w:val="24"/>
          <w:szCs w:val="24"/>
          <w:lang w:val="es-MX"/>
        </w:rPr>
        <w:t>4</w:t>
      </w:r>
      <w:r w:rsidR="00BE69DE" w:rsidRPr="0052208F">
        <w:rPr>
          <w:rFonts w:ascii="Futura Lt BT" w:hAnsi="Futura Lt BT" w:cs="Courier New"/>
          <w:sz w:val="24"/>
          <w:szCs w:val="24"/>
          <w:lang w:val="es-MX"/>
        </w:rPr>
        <w:t>.</w:t>
      </w:r>
      <w:r w:rsidR="0075213D">
        <w:rPr>
          <w:rFonts w:ascii="Futura Lt BT" w:hAnsi="Futura Lt BT" w:cs="Courier New"/>
          <w:sz w:val="24"/>
          <w:szCs w:val="24"/>
          <w:lang w:val="es-MX"/>
        </w:rPr>
        <w:t>4</w:t>
      </w:r>
      <w:r w:rsidRPr="0052208F">
        <w:rPr>
          <w:rFonts w:ascii="Futura Lt BT" w:hAnsi="Futura Lt BT" w:cs="Courier New"/>
          <w:sz w:val="24"/>
          <w:szCs w:val="24"/>
          <w:lang w:val="es-MX"/>
        </w:rPr>
        <w:t xml:space="preserve"> millones de dólares</w:t>
      </w:r>
      <w:r w:rsidR="00890607" w:rsidRPr="00890607">
        <w:rPr>
          <w:rFonts w:ascii="Futura Lt BT" w:hAnsi="Futura Lt BT" w:cs="Courier New"/>
          <w:sz w:val="24"/>
          <w:szCs w:val="24"/>
          <w:lang w:val="es-MX"/>
        </w:rPr>
        <w:t xml:space="preserve"> </w:t>
      </w:r>
      <w:r w:rsidR="00890607" w:rsidRPr="0052208F">
        <w:rPr>
          <w:rFonts w:ascii="Futura Lt BT" w:hAnsi="Futura Lt BT" w:cs="Courier New"/>
          <w:sz w:val="24"/>
          <w:szCs w:val="24"/>
          <w:lang w:val="es-MX"/>
        </w:rPr>
        <w:t xml:space="preserve">en el </w:t>
      </w:r>
      <w:r w:rsidR="0075213D">
        <w:rPr>
          <w:rFonts w:ascii="Futura Lt BT" w:hAnsi="Futura Lt BT" w:cs="Courier New"/>
          <w:sz w:val="24"/>
          <w:szCs w:val="24"/>
          <w:lang w:val="es-MX"/>
        </w:rPr>
        <w:t>segundo</w:t>
      </w:r>
      <w:r w:rsidR="00890607" w:rsidRPr="0052208F">
        <w:rPr>
          <w:rFonts w:ascii="Futura Lt BT" w:hAnsi="Futura Lt BT" w:cs="Courier New"/>
          <w:sz w:val="24"/>
          <w:szCs w:val="24"/>
          <w:lang w:val="es-MX"/>
        </w:rPr>
        <w:t xml:space="preserve"> trimestre</w:t>
      </w:r>
      <w:r w:rsidRPr="0052208F">
        <w:rPr>
          <w:rFonts w:ascii="Futura Lt BT" w:hAnsi="Futura Lt BT" w:cs="Courier New"/>
          <w:sz w:val="24"/>
          <w:szCs w:val="24"/>
          <w:lang w:val="es-MX"/>
        </w:rPr>
        <w:t xml:space="preserve">, </w:t>
      </w:r>
      <w:r w:rsidR="00526784">
        <w:rPr>
          <w:rFonts w:ascii="Futura Lt BT" w:hAnsi="Futura Lt BT" w:cs="Courier New"/>
          <w:sz w:val="24"/>
          <w:szCs w:val="24"/>
          <w:lang w:val="es-MX"/>
        </w:rPr>
        <w:t xml:space="preserve">las cuales disminuyeron </w:t>
      </w:r>
      <w:r w:rsidR="0075213D">
        <w:rPr>
          <w:rFonts w:ascii="Futura Lt BT" w:hAnsi="Futura Lt BT" w:cs="Courier New"/>
          <w:sz w:val="24"/>
          <w:szCs w:val="24"/>
          <w:lang w:val="es-MX"/>
        </w:rPr>
        <w:t>0.8</w:t>
      </w:r>
      <w:r w:rsidRPr="0052208F">
        <w:rPr>
          <w:rFonts w:ascii="Futura Lt BT" w:hAnsi="Futura Lt BT" w:cs="Courier New"/>
          <w:sz w:val="24"/>
          <w:szCs w:val="24"/>
          <w:lang w:val="es-MX"/>
        </w:rPr>
        <w:t xml:space="preserve"> por ciento </w:t>
      </w:r>
      <w:r w:rsidR="00526784">
        <w:rPr>
          <w:rFonts w:ascii="Futura Lt BT" w:hAnsi="Futura Lt BT" w:cs="Courier New"/>
          <w:sz w:val="24"/>
          <w:szCs w:val="24"/>
          <w:lang w:val="es-MX"/>
        </w:rPr>
        <w:t xml:space="preserve">con respecto a igual </w:t>
      </w:r>
      <w:r w:rsidRPr="0052208F">
        <w:rPr>
          <w:rFonts w:ascii="Futura Lt BT" w:hAnsi="Futura Lt BT" w:cs="Courier New"/>
          <w:sz w:val="24"/>
          <w:szCs w:val="24"/>
          <w:lang w:val="es-MX"/>
        </w:rPr>
        <w:t>período 2022 (US$2,</w:t>
      </w:r>
      <w:r w:rsidR="0075213D">
        <w:rPr>
          <w:rFonts w:ascii="Futura Lt BT" w:hAnsi="Futura Lt BT" w:cs="Courier New"/>
          <w:sz w:val="24"/>
          <w:szCs w:val="24"/>
          <w:lang w:val="es-MX"/>
        </w:rPr>
        <w:t>323</w:t>
      </w:r>
      <w:r w:rsidRPr="0052208F">
        <w:rPr>
          <w:rFonts w:ascii="Futura Lt BT" w:hAnsi="Futura Lt BT" w:cs="Courier New"/>
          <w:sz w:val="24"/>
          <w:szCs w:val="24"/>
          <w:lang w:val="es-MX"/>
        </w:rPr>
        <w:t xml:space="preserve">.4 millones), </w:t>
      </w:r>
      <w:r w:rsidR="00D170FC" w:rsidRPr="00EC64AF">
        <w:rPr>
          <w:rFonts w:ascii="Futura Lt BT" w:hAnsi="Futura Lt BT" w:cs="Courier New"/>
          <w:sz w:val="24"/>
          <w:szCs w:val="24"/>
          <w:lang w:val="es-MX"/>
        </w:rPr>
        <w:t>debido principalmente a la</w:t>
      </w:r>
      <w:r w:rsidRPr="00EC64AF">
        <w:rPr>
          <w:rFonts w:ascii="Futura Lt BT" w:hAnsi="Futura Lt BT" w:cs="Courier New"/>
          <w:sz w:val="24"/>
          <w:szCs w:val="24"/>
          <w:lang w:val="es-MX"/>
        </w:rPr>
        <w:t xml:space="preserve"> </w:t>
      </w:r>
      <w:r w:rsidR="00844732" w:rsidRPr="00EC64AF">
        <w:rPr>
          <w:rFonts w:ascii="Futura Lt BT" w:hAnsi="Futura Lt BT" w:cs="Courier New"/>
          <w:sz w:val="24"/>
          <w:szCs w:val="24"/>
          <w:lang w:val="es-MX"/>
        </w:rPr>
        <w:t xml:space="preserve">baja </w:t>
      </w:r>
      <w:r w:rsidR="00D170FC" w:rsidRPr="004E2633">
        <w:rPr>
          <w:rFonts w:ascii="Futura Lt BT" w:hAnsi="Futura Lt BT" w:cs="Courier New"/>
          <w:sz w:val="24"/>
          <w:szCs w:val="24"/>
          <w:lang w:val="es-MX"/>
        </w:rPr>
        <w:t xml:space="preserve">de </w:t>
      </w:r>
      <w:r w:rsidR="00661DE8" w:rsidRPr="004E2633">
        <w:rPr>
          <w:rFonts w:ascii="Futura Lt BT" w:hAnsi="Futura Lt BT" w:cs="Courier New"/>
          <w:sz w:val="24"/>
          <w:szCs w:val="24"/>
          <w:lang w:val="es-MX"/>
        </w:rPr>
        <w:t>12.1</w:t>
      </w:r>
      <w:r w:rsidR="00D170FC" w:rsidRPr="004E2633">
        <w:rPr>
          <w:rFonts w:ascii="Futura Lt BT" w:hAnsi="Futura Lt BT" w:cs="Courier New"/>
          <w:sz w:val="24"/>
          <w:szCs w:val="24"/>
          <w:lang w:val="es-MX"/>
        </w:rPr>
        <w:t xml:space="preserve"> por ciento </w:t>
      </w:r>
      <w:r w:rsidR="00967D19" w:rsidRPr="004E2633">
        <w:rPr>
          <w:rFonts w:ascii="Futura Lt BT" w:hAnsi="Futura Lt BT" w:cs="Courier New"/>
          <w:sz w:val="24"/>
          <w:szCs w:val="24"/>
          <w:lang w:val="es-MX"/>
        </w:rPr>
        <w:t>en</w:t>
      </w:r>
      <w:r w:rsidRPr="004E2633">
        <w:rPr>
          <w:rFonts w:ascii="Futura Lt BT" w:hAnsi="Futura Lt BT" w:cs="Courier New"/>
          <w:sz w:val="24"/>
          <w:szCs w:val="24"/>
          <w:lang w:val="es-MX"/>
        </w:rPr>
        <w:t xml:space="preserve"> los precios </w:t>
      </w:r>
      <w:r w:rsidR="00D170FC" w:rsidRPr="004E2633">
        <w:rPr>
          <w:rFonts w:ascii="Futura Lt BT" w:hAnsi="Futura Lt BT" w:cs="Courier New"/>
          <w:sz w:val="24"/>
          <w:szCs w:val="24"/>
          <w:lang w:val="es-MX"/>
        </w:rPr>
        <w:t xml:space="preserve">promedio </w:t>
      </w:r>
      <w:r w:rsidRPr="004E2633">
        <w:rPr>
          <w:rFonts w:ascii="Futura Lt BT" w:hAnsi="Futura Lt BT" w:cs="Courier New"/>
          <w:sz w:val="24"/>
          <w:szCs w:val="24"/>
          <w:lang w:val="es-MX"/>
        </w:rPr>
        <w:t>contratados</w:t>
      </w:r>
      <w:r w:rsidR="004E2633" w:rsidRPr="004E2633">
        <w:rPr>
          <w:rFonts w:ascii="Futura Lt BT" w:hAnsi="Futura Lt BT" w:cs="Courier New"/>
          <w:sz w:val="24"/>
          <w:szCs w:val="24"/>
          <w:lang w:val="es-MX"/>
        </w:rPr>
        <w:t xml:space="preserve">, contrarrestado por el aumento de </w:t>
      </w:r>
      <w:r w:rsidR="00297983" w:rsidRPr="004E2633">
        <w:rPr>
          <w:rFonts w:ascii="Futura Lt BT" w:hAnsi="Futura Lt BT" w:cs="Courier New"/>
          <w:sz w:val="24"/>
          <w:szCs w:val="24"/>
          <w:lang w:val="es-MX"/>
        </w:rPr>
        <w:t>11.3 por ciento</w:t>
      </w:r>
      <w:r w:rsidR="00331348" w:rsidRPr="004E2633">
        <w:rPr>
          <w:rFonts w:ascii="Futura Lt BT" w:hAnsi="Futura Lt BT" w:cs="Courier New"/>
          <w:sz w:val="24"/>
          <w:szCs w:val="24"/>
          <w:lang w:val="es-MX"/>
        </w:rPr>
        <w:t xml:space="preserve"> </w:t>
      </w:r>
      <w:r w:rsidR="004E2633" w:rsidRPr="004E2633">
        <w:rPr>
          <w:rFonts w:ascii="Futura Lt BT" w:hAnsi="Futura Lt BT" w:cs="Courier New"/>
          <w:sz w:val="24"/>
          <w:szCs w:val="24"/>
          <w:lang w:val="es-MX"/>
        </w:rPr>
        <w:t>en los volúmenes importados</w:t>
      </w:r>
      <w:r w:rsidR="00297983" w:rsidRPr="004E2633">
        <w:rPr>
          <w:rFonts w:ascii="Futura Lt BT" w:hAnsi="Futura Lt BT" w:cs="Courier New"/>
          <w:sz w:val="24"/>
          <w:szCs w:val="24"/>
          <w:lang w:val="es-MX"/>
        </w:rPr>
        <w:t xml:space="preserve">. </w:t>
      </w:r>
      <w:r w:rsidR="00331348" w:rsidRPr="004E2633">
        <w:rPr>
          <w:rFonts w:ascii="Futura Lt BT" w:hAnsi="Futura Lt BT" w:cs="Courier New"/>
          <w:sz w:val="24"/>
          <w:szCs w:val="24"/>
          <w:lang w:val="es-MX"/>
        </w:rPr>
        <w:t>L</w:t>
      </w:r>
      <w:r w:rsidR="005F5BF8" w:rsidRPr="004E2633">
        <w:rPr>
          <w:rFonts w:ascii="Futura Lt BT" w:hAnsi="Futura Lt BT" w:cs="Courier New"/>
          <w:sz w:val="24"/>
          <w:szCs w:val="24"/>
          <w:lang w:val="es-MX"/>
        </w:rPr>
        <w:t xml:space="preserve">as menores compras de bienes importados se dieron en </w:t>
      </w:r>
      <w:r w:rsidRPr="004E2633">
        <w:rPr>
          <w:rFonts w:ascii="Futura Lt BT" w:hAnsi="Futura Lt BT" w:cs="Courier New"/>
          <w:sz w:val="24"/>
          <w:szCs w:val="24"/>
          <w:lang w:val="es-MX"/>
        </w:rPr>
        <w:t>petróleo, combustibles y lubricantes (</w:t>
      </w:r>
      <w:r w:rsidR="00D170FC" w:rsidRPr="004E2633">
        <w:rPr>
          <w:rFonts w:ascii="Futura Lt BT" w:hAnsi="Futura Lt BT" w:cs="Courier New"/>
          <w:sz w:val="24"/>
          <w:szCs w:val="24"/>
          <w:lang w:val="es-MX"/>
        </w:rPr>
        <w:t>-</w:t>
      </w:r>
      <w:r w:rsidRPr="004E2633">
        <w:rPr>
          <w:rFonts w:ascii="Futura Lt BT" w:hAnsi="Futura Lt BT" w:cs="Courier New"/>
          <w:sz w:val="24"/>
          <w:szCs w:val="24"/>
          <w:lang w:val="es-MX"/>
        </w:rPr>
        <w:t>2</w:t>
      </w:r>
      <w:r w:rsidR="00773EAF" w:rsidRPr="004E2633">
        <w:rPr>
          <w:rFonts w:ascii="Futura Lt BT" w:hAnsi="Futura Lt BT" w:cs="Courier New"/>
          <w:sz w:val="24"/>
          <w:szCs w:val="24"/>
          <w:lang w:val="es-MX"/>
        </w:rPr>
        <w:t>3</w:t>
      </w:r>
      <w:r w:rsidR="0075213D" w:rsidRPr="004E2633">
        <w:rPr>
          <w:rFonts w:ascii="Futura Lt BT" w:hAnsi="Futura Lt BT" w:cs="Courier New"/>
          <w:sz w:val="24"/>
          <w:szCs w:val="24"/>
          <w:lang w:val="es-MX"/>
        </w:rPr>
        <w:t>.</w:t>
      </w:r>
      <w:r w:rsidR="00773EAF" w:rsidRPr="004E2633">
        <w:rPr>
          <w:rFonts w:ascii="Futura Lt BT" w:hAnsi="Futura Lt BT" w:cs="Courier New"/>
          <w:sz w:val="24"/>
          <w:szCs w:val="24"/>
          <w:lang w:val="es-MX"/>
        </w:rPr>
        <w:t>4</w:t>
      </w:r>
      <w:r w:rsidRPr="004E2633">
        <w:rPr>
          <w:rFonts w:ascii="Futura Lt BT" w:hAnsi="Futura Lt BT" w:cs="Courier New"/>
          <w:sz w:val="24"/>
          <w:szCs w:val="24"/>
          <w:lang w:val="es-MX"/>
        </w:rPr>
        <w:t xml:space="preserve">%), </w:t>
      </w:r>
      <w:r w:rsidR="005F5BF8" w:rsidRPr="004E2633">
        <w:rPr>
          <w:rFonts w:ascii="Futura Lt BT" w:hAnsi="Futura Lt BT" w:cs="Courier New"/>
          <w:sz w:val="24"/>
          <w:szCs w:val="24"/>
          <w:lang w:val="es-MX"/>
        </w:rPr>
        <w:t xml:space="preserve">el cual fue </w:t>
      </w:r>
      <w:r w:rsidR="00844732" w:rsidRPr="004E2633">
        <w:rPr>
          <w:rFonts w:ascii="Futura Lt BT" w:hAnsi="Futura Lt BT" w:cs="Courier New"/>
          <w:sz w:val="24"/>
          <w:szCs w:val="24"/>
          <w:lang w:val="es-MX"/>
        </w:rPr>
        <w:t>atenuado</w:t>
      </w:r>
      <w:r w:rsidR="00844732">
        <w:rPr>
          <w:rFonts w:ascii="Futura Lt BT" w:hAnsi="Futura Lt BT" w:cs="Courier New"/>
          <w:sz w:val="24"/>
          <w:szCs w:val="24"/>
          <w:lang w:val="es-MX"/>
        </w:rPr>
        <w:t xml:space="preserve"> p</w:t>
      </w:r>
      <w:r w:rsidRPr="007F352D">
        <w:rPr>
          <w:rFonts w:ascii="Futura Lt BT" w:hAnsi="Futura Lt BT" w:cs="Courier New"/>
          <w:sz w:val="24"/>
          <w:szCs w:val="24"/>
          <w:lang w:val="es-MX"/>
        </w:rPr>
        <w:t xml:space="preserve">or el incremento en los </w:t>
      </w:r>
      <w:r w:rsidR="00773EAF">
        <w:rPr>
          <w:rFonts w:ascii="Futura Lt BT" w:hAnsi="Futura Lt BT" w:cs="Courier New"/>
          <w:sz w:val="24"/>
          <w:szCs w:val="24"/>
          <w:lang w:val="es-MX"/>
        </w:rPr>
        <w:t xml:space="preserve">bienes de capital (10.9%), </w:t>
      </w:r>
      <w:r w:rsidRPr="007F352D">
        <w:rPr>
          <w:rFonts w:ascii="Futura Lt BT" w:hAnsi="Futura Lt BT" w:cs="Courier New"/>
          <w:sz w:val="24"/>
          <w:szCs w:val="24"/>
          <w:lang w:val="es-MX"/>
        </w:rPr>
        <w:t xml:space="preserve">bienes de </w:t>
      </w:r>
      <w:r w:rsidR="000F6867">
        <w:rPr>
          <w:rFonts w:ascii="Futura Lt BT" w:hAnsi="Futura Lt BT" w:cs="Courier New"/>
          <w:sz w:val="24"/>
          <w:szCs w:val="24"/>
          <w:lang w:val="es-MX"/>
        </w:rPr>
        <w:t>consumo</w:t>
      </w:r>
      <w:r w:rsidRPr="007F352D">
        <w:rPr>
          <w:rFonts w:ascii="Futura Lt BT" w:hAnsi="Futura Lt BT" w:cs="Courier New"/>
          <w:sz w:val="24"/>
          <w:szCs w:val="24"/>
          <w:lang w:val="es-MX"/>
        </w:rPr>
        <w:t xml:space="preserve"> (</w:t>
      </w:r>
      <w:r w:rsidR="00773EAF">
        <w:rPr>
          <w:rFonts w:ascii="Futura Lt BT" w:hAnsi="Futura Lt BT" w:cs="Courier New"/>
          <w:sz w:val="24"/>
          <w:szCs w:val="24"/>
          <w:lang w:val="es-MX"/>
        </w:rPr>
        <w:t>6</w:t>
      </w:r>
      <w:r w:rsidRPr="007F352D">
        <w:rPr>
          <w:rFonts w:ascii="Futura Lt BT" w:hAnsi="Futura Lt BT" w:cs="Courier New"/>
          <w:sz w:val="24"/>
          <w:szCs w:val="24"/>
          <w:lang w:val="es-MX"/>
        </w:rPr>
        <w:t>.</w:t>
      </w:r>
      <w:r w:rsidR="00773EAF">
        <w:rPr>
          <w:rFonts w:ascii="Futura Lt BT" w:hAnsi="Futura Lt BT" w:cs="Courier New"/>
          <w:sz w:val="24"/>
          <w:szCs w:val="24"/>
          <w:lang w:val="es-MX"/>
        </w:rPr>
        <w:t>9</w:t>
      </w:r>
      <w:r w:rsidRPr="007F352D">
        <w:rPr>
          <w:rFonts w:ascii="Futura Lt BT" w:hAnsi="Futura Lt BT" w:cs="Courier New"/>
          <w:sz w:val="24"/>
          <w:szCs w:val="24"/>
          <w:lang w:val="es-MX"/>
        </w:rPr>
        <w:t>%)</w:t>
      </w:r>
      <w:r w:rsidR="000F6867">
        <w:rPr>
          <w:rFonts w:ascii="Futura Lt BT" w:hAnsi="Futura Lt BT" w:cs="Courier New"/>
          <w:sz w:val="24"/>
          <w:szCs w:val="24"/>
          <w:lang w:val="es-MX"/>
        </w:rPr>
        <w:t>, y bienes intermedios (</w:t>
      </w:r>
      <w:r w:rsidR="00773EAF">
        <w:rPr>
          <w:rFonts w:ascii="Futura Lt BT" w:hAnsi="Futura Lt BT" w:cs="Courier New"/>
          <w:sz w:val="24"/>
          <w:szCs w:val="24"/>
          <w:lang w:val="es-MX"/>
        </w:rPr>
        <w:t>0</w:t>
      </w:r>
      <w:r w:rsidR="000F6867">
        <w:rPr>
          <w:rFonts w:ascii="Futura Lt BT" w:hAnsi="Futura Lt BT" w:cs="Courier New"/>
          <w:sz w:val="24"/>
          <w:szCs w:val="24"/>
          <w:lang w:val="es-MX"/>
        </w:rPr>
        <w:t>.</w:t>
      </w:r>
      <w:r w:rsidR="00773EAF">
        <w:rPr>
          <w:rFonts w:ascii="Futura Lt BT" w:hAnsi="Futura Lt BT" w:cs="Courier New"/>
          <w:sz w:val="24"/>
          <w:szCs w:val="24"/>
          <w:lang w:val="es-MX"/>
        </w:rPr>
        <w:t>5</w:t>
      </w:r>
      <w:r w:rsidR="000F6867">
        <w:rPr>
          <w:rFonts w:ascii="Futura Lt BT" w:hAnsi="Futura Lt BT" w:cs="Courier New"/>
          <w:sz w:val="24"/>
          <w:szCs w:val="24"/>
          <w:lang w:val="es-MX"/>
        </w:rPr>
        <w:t>%)</w:t>
      </w:r>
      <w:r w:rsidRPr="007F352D">
        <w:rPr>
          <w:rFonts w:ascii="Futura Lt BT" w:hAnsi="Futura Lt BT" w:cs="Courier New"/>
          <w:sz w:val="24"/>
          <w:szCs w:val="24"/>
          <w:lang w:val="es-MX"/>
        </w:rPr>
        <w:t>.</w:t>
      </w:r>
      <w:r w:rsidR="005F5BF8">
        <w:rPr>
          <w:rFonts w:ascii="Futura Lt BT" w:hAnsi="Futura Lt BT" w:cs="Courier New"/>
          <w:sz w:val="24"/>
          <w:szCs w:val="24"/>
          <w:lang w:val="es-MX"/>
        </w:rPr>
        <w:t xml:space="preserve"> En el aumento de las importaciones de bienes de capital destacó la mayor adquisición de equipos y maquinarias industriales (24.2%), equipos para telecomunicaciones (60.8%), y equipos de transporte (23.3%).</w:t>
      </w:r>
    </w:p>
    <w:p w:rsidR="005F5BF8" w:rsidRDefault="005F5BF8" w:rsidP="004908B3">
      <w:pPr>
        <w:spacing w:after="0" w:line="276" w:lineRule="auto"/>
        <w:jc w:val="both"/>
        <w:rPr>
          <w:rFonts w:ascii="Futura Lt BT" w:hAnsi="Futura Lt BT" w:cs="Courier New"/>
          <w:sz w:val="24"/>
          <w:szCs w:val="24"/>
          <w:lang w:val="es-MX"/>
        </w:rPr>
      </w:pPr>
    </w:p>
    <w:p w:rsidR="00834829" w:rsidRDefault="007F352D" w:rsidP="004908B3">
      <w:pPr>
        <w:spacing w:after="0" w:line="276" w:lineRule="auto"/>
        <w:jc w:val="both"/>
        <w:rPr>
          <w:rFonts w:ascii="Futura Lt BT" w:hAnsi="Futura Lt BT" w:cs="Courier New"/>
          <w:sz w:val="24"/>
          <w:szCs w:val="24"/>
          <w:lang w:val="es-MX"/>
        </w:rPr>
      </w:pPr>
      <w:r w:rsidRPr="007F352D">
        <w:rPr>
          <w:rFonts w:ascii="Futura Lt BT" w:hAnsi="Futura Lt BT" w:cs="Courier New"/>
          <w:sz w:val="24"/>
          <w:szCs w:val="24"/>
          <w:lang w:val="es-MX"/>
        </w:rPr>
        <w:t>Asimismo, las impo</w:t>
      </w:r>
      <w:r w:rsidR="00CA2126">
        <w:rPr>
          <w:rFonts w:ascii="Futura Lt BT" w:hAnsi="Futura Lt BT" w:cs="Courier New"/>
          <w:sz w:val="24"/>
          <w:szCs w:val="24"/>
          <w:lang w:val="es-MX"/>
        </w:rPr>
        <w:t>rt</w:t>
      </w:r>
      <w:r w:rsidRPr="007F352D">
        <w:rPr>
          <w:rFonts w:ascii="Futura Lt BT" w:hAnsi="Futura Lt BT" w:cs="Courier New"/>
          <w:sz w:val="24"/>
          <w:szCs w:val="24"/>
          <w:lang w:val="es-MX"/>
        </w:rPr>
        <w:t>aciones de servicios</w:t>
      </w:r>
      <w:r w:rsidR="00D170FC">
        <w:rPr>
          <w:rFonts w:ascii="Futura Lt BT" w:hAnsi="Futura Lt BT" w:cs="Courier New"/>
          <w:sz w:val="24"/>
          <w:szCs w:val="24"/>
          <w:lang w:val="es-MX"/>
        </w:rPr>
        <w:t>,</w:t>
      </w:r>
      <w:r w:rsidRPr="007F352D">
        <w:rPr>
          <w:rFonts w:ascii="Futura Lt BT" w:hAnsi="Futura Lt BT" w:cs="Courier New"/>
          <w:sz w:val="24"/>
          <w:szCs w:val="24"/>
          <w:lang w:val="es-MX"/>
        </w:rPr>
        <w:t xml:space="preserve"> que totalizaron 2</w:t>
      </w:r>
      <w:r w:rsidR="000F6867">
        <w:rPr>
          <w:rFonts w:ascii="Futura Lt BT" w:hAnsi="Futura Lt BT" w:cs="Courier New"/>
          <w:sz w:val="24"/>
          <w:szCs w:val="24"/>
          <w:lang w:val="es-MX"/>
        </w:rPr>
        <w:t>68</w:t>
      </w:r>
      <w:r w:rsidRPr="007F352D">
        <w:rPr>
          <w:rFonts w:ascii="Futura Lt BT" w:hAnsi="Futura Lt BT" w:cs="Courier New"/>
          <w:sz w:val="24"/>
          <w:szCs w:val="24"/>
          <w:lang w:val="es-MX"/>
        </w:rPr>
        <w:t>.</w:t>
      </w:r>
      <w:r w:rsidR="000F6867">
        <w:rPr>
          <w:rFonts w:ascii="Futura Lt BT" w:hAnsi="Futura Lt BT" w:cs="Courier New"/>
          <w:sz w:val="24"/>
          <w:szCs w:val="24"/>
          <w:lang w:val="es-MX"/>
        </w:rPr>
        <w:t>3</w:t>
      </w:r>
      <w:r w:rsidRPr="007F352D">
        <w:rPr>
          <w:rFonts w:ascii="Futura Lt BT" w:hAnsi="Futura Lt BT" w:cs="Courier New"/>
          <w:sz w:val="24"/>
          <w:szCs w:val="24"/>
          <w:lang w:val="es-MX"/>
        </w:rPr>
        <w:t xml:space="preserve"> millones de dólares en </w:t>
      </w:r>
      <w:r w:rsidR="00844732">
        <w:rPr>
          <w:rFonts w:ascii="Futura Lt BT" w:hAnsi="Futura Lt BT" w:cs="Courier New"/>
          <w:sz w:val="24"/>
          <w:szCs w:val="24"/>
          <w:lang w:val="es-MX"/>
        </w:rPr>
        <w:t>este trimestre</w:t>
      </w:r>
      <w:r w:rsidRPr="007F352D">
        <w:rPr>
          <w:rFonts w:ascii="Futura Lt BT" w:hAnsi="Futura Lt BT" w:cs="Courier New"/>
          <w:sz w:val="24"/>
          <w:szCs w:val="24"/>
          <w:lang w:val="es-MX"/>
        </w:rPr>
        <w:t>, registra</w:t>
      </w:r>
      <w:r w:rsidR="00844732">
        <w:rPr>
          <w:rFonts w:ascii="Futura Lt BT" w:hAnsi="Futura Lt BT" w:cs="Courier New"/>
          <w:sz w:val="24"/>
          <w:szCs w:val="24"/>
          <w:lang w:val="es-MX"/>
        </w:rPr>
        <w:t xml:space="preserve">ron </w:t>
      </w:r>
      <w:r w:rsidRPr="007F352D">
        <w:rPr>
          <w:rFonts w:ascii="Futura Lt BT" w:hAnsi="Futura Lt BT" w:cs="Courier New"/>
          <w:sz w:val="24"/>
          <w:szCs w:val="24"/>
          <w:lang w:val="es-MX"/>
        </w:rPr>
        <w:t xml:space="preserve">una disminución </w:t>
      </w:r>
      <w:r w:rsidR="00844732">
        <w:rPr>
          <w:rFonts w:ascii="Futura Lt BT" w:hAnsi="Futura Lt BT" w:cs="Courier New"/>
          <w:sz w:val="24"/>
          <w:szCs w:val="24"/>
          <w:lang w:val="es-MX"/>
        </w:rPr>
        <w:t xml:space="preserve">interanual </w:t>
      </w:r>
      <w:r w:rsidRPr="007F352D">
        <w:rPr>
          <w:rFonts w:ascii="Futura Lt BT" w:hAnsi="Futura Lt BT" w:cs="Courier New"/>
          <w:sz w:val="24"/>
          <w:szCs w:val="24"/>
          <w:lang w:val="es-MX"/>
        </w:rPr>
        <w:t xml:space="preserve">de </w:t>
      </w:r>
      <w:r w:rsidR="000F6867">
        <w:rPr>
          <w:rFonts w:ascii="Futura Lt BT" w:hAnsi="Futura Lt BT" w:cs="Courier New"/>
          <w:sz w:val="24"/>
          <w:szCs w:val="24"/>
          <w:lang w:val="es-MX"/>
        </w:rPr>
        <w:t>1</w:t>
      </w:r>
      <w:r w:rsidRPr="007F352D">
        <w:rPr>
          <w:rFonts w:ascii="Futura Lt BT" w:hAnsi="Futura Lt BT" w:cs="Courier New"/>
          <w:sz w:val="24"/>
          <w:szCs w:val="24"/>
          <w:lang w:val="es-MX"/>
        </w:rPr>
        <w:t>.3 por ciento (US$27</w:t>
      </w:r>
      <w:r w:rsidR="000F6867">
        <w:rPr>
          <w:rFonts w:ascii="Futura Lt BT" w:hAnsi="Futura Lt BT" w:cs="Courier New"/>
          <w:sz w:val="24"/>
          <w:szCs w:val="24"/>
          <w:lang w:val="es-MX"/>
        </w:rPr>
        <w:t>1</w:t>
      </w:r>
      <w:r w:rsidRPr="007F352D">
        <w:rPr>
          <w:rFonts w:ascii="Futura Lt BT" w:hAnsi="Futura Lt BT" w:cs="Courier New"/>
          <w:sz w:val="24"/>
          <w:szCs w:val="24"/>
          <w:lang w:val="es-MX"/>
        </w:rPr>
        <w:t>.</w:t>
      </w:r>
      <w:r w:rsidR="000F6867">
        <w:rPr>
          <w:rFonts w:ascii="Futura Lt BT" w:hAnsi="Futura Lt BT" w:cs="Courier New"/>
          <w:sz w:val="24"/>
          <w:szCs w:val="24"/>
          <w:lang w:val="es-MX"/>
        </w:rPr>
        <w:t>9</w:t>
      </w:r>
      <w:r w:rsidRPr="007F352D">
        <w:rPr>
          <w:rFonts w:ascii="Futura Lt BT" w:hAnsi="Futura Lt BT" w:cs="Courier New"/>
          <w:sz w:val="24"/>
          <w:szCs w:val="24"/>
          <w:lang w:val="es-MX"/>
        </w:rPr>
        <w:t xml:space="preserve"> millones en </w:t>
      </w:r>
      <w:r w:rsidR="00844732">
        <w:rPr>
          <w:rFonts w:ascii="Futura Lt BT" w:hAnsi="Futura Lt BT" w:cs="Courier New"/>
          <w:sz w:val="24"/>
          <w:szCs w:val="24"/>
          <w:lang w:val="es-MX"/>
        </w:rPr>
        <w:t>I</w:t>
      </w:r>
      <w:r w:rsidR="000F6867">
        <w:rPr>
          <w:rFonts w:ascii="Futura Lt BT" w:hAnsi="Futura Lt BT" w:cs="Courier New"/>
          <w:sz w:val="24"/>
          <w:szCs w:val="24"/>
          <w:lang w:val="es-MX"/>
        </w:rPr>
        <w:t>I</w:t>
      </w:r>
      <w:r w:rsidR="00844732">
        <w:rPr>
          <w:rFonts w:ascii="Futura Lt BT" w:hAnsi="Futura Lt BT" w:cs="Courier New"/>
          <w:sz w:val="24"/>
          <w:szCs w:val="24"/>
          <w:lang w:val="es-MX"/>
        </w:rPr>
        <w:t xml:space="preserve"> trimestre </w:t>
      </w:r>
      <w:r w:rsidRPr="007F352D">
        <w:rPr>
          <w:rFonts w:ascii="Futura Lt BT" w:hAnsi="Futura Lt BT" w:cs="Courier New"/>
          <w:sz w:val="24"/>
          <w:szCs w:val="24"/>
          <w:lang w:val="es-MX"/>
        </w:rPr>
        <w:t>2022), como resultado de menores gastos de bienes para transformación (</w:t>
      </w:r>
      <w:r w:rsidR="00D170FC">
        <w:rPr>
          <w:rFonts w:ascii="Futura Lt BT" w:hAnsi="Futura Lt BT" w:cs="Courier New"/>
          <w:sz w:val="24"/>
          <w:szCs w:val="24"/>
          <w:lang w:val="es-MX"/>
        </w:rPr>
        <w:t>-</w:t>
      </w:r>
      <w:r w:rsidRPr="007F352D">
        <w:rPr>
          <w:rFonts w:ascii="Futura Lt BT" w:hAnsi="Futura Lt BT" w:cs="Courier New"/>
          <w:sz w:val="24"/>
          <w:szCs w:val="24"/>
          <w:lang w:val="es-MX"/>
        </w:rPr>
        <w:t>4</w:t>
      </w:r>
      <w:r w:rsidR="009C534F">
        <w:rPr>
          <w:rFonts w:ascii="Futura Lt BT" w:hAnsi="Futura Lt BT" w:cs="Courier New"/>
          <w:sz w:val="24"/>
          <w:szCs w:val="24"/>
          <w:lang w:val="es-MX"/>
        </w:rPr>
        <w:t>1</w:t>
      </w:r>
      <w:r w:rsidRPr="007F352D">
        <w:rPr>
          <w:rFonts w:ascii="Futura Lt BT" w:hAnsi="Futura Lt BT" w:cs="Courier New"/>
          <w:sz w:val="24"/>
          <w:szCs w:val="24"/>
          <w:lang w:val="es-MX"/>
        </w:rPr>
        <w:t>.</w:t>
      </w:r>
      <w:r w:rsidR="009C534F">
        <w:rPr>
          <w:rFonts w:ascii="Futura Lt BT" w:hAnsi="Futura Lt BT" w:cs="Courier New"/>
          <w:sz w:val="24"/>
          <w:szCs w:val="24"/>
          <w:lang w:val="es-MX"/>
        </w:rPr>
        <w:t>2</w:t>
      </w:r>
      <w:r w:rsidRPr="007F352D">
        <w:rPr>
          <w:rFonts w:ascii="Futura Lt BT" w:hAnsi="Futura Lt BT" w:cs="Courier New"/>
          <w:sz w:val="24"/>
          <w:szCs w:val="24"/>
          <w:lang w:val="es-MX"/>
        </w:rPr>
        <w:t xml:space="preserve">%) y disminución en gastos de servicios </w:t>
      </w:r>
      <w:r w:rsidR="00FC2F3E">
        <w:rPr>
          <w:rFonts w:ascii="Futura Lt BT" w:hAnsi="Futura Lt BT" w:cs="Courier New"/>
          <w:sz w:val="24"/>
          <w:szCs w:val="24"/>
          <w:lang w:val="es-MX"/>
        </w:rPr>
        <w:t>postales</w:t>
      </w:r>
      <w:r w:rsidRPr="007F352D">
        <w:rPr>
          <w:rFonts w:ascii="Futura Lt BT" w:hAnsi="Futura Lt BT" w:cs="Courier New"/>
          <w:sz w:val="24"/>
          <w:szCs w:val="24"/>
          <w:lang w:val="es-MX"/>
        </w:rPr>
        <w:t xml:space="preserve"> y </w:t>
      </w:r>
      <w:r w:rsidR="00FC2F3E">
        <w:rPr>
          <w:rFonts w:ascii="Futura Lt BT" w:hAnsi="Futura Lt BT" w:cs="Courier New"/>
          <w:sz w:val="24"/>
          <w:szCs w:val="24"/>
          <w:lang w:val="es-MX"/>
        </w:rPr>
        <w:t>de mensajería</w:t>
      </w:r>
      <w:r w:rsidRPr="007F352D">
        <w:rPr>
          <w:rFonts w:ascii="Futura Lt BT" w:hAnsi="Futura Lt BT" w:cs="Courier New"/>
          <w:sz w:val="24"/>
          <w:szCs w:val="24"/>
          <w:lang w:val="es-MX"/>
        </w:rPr>
        <w:t xml:space="preserve"> (</w:t>
      </w:r>
      <w:r w:rsidR="00D170FC">
        <w:rPr>
          <w:rFonts w:ascii="Futura Lt BT" w:hAnsi="Futura Lt BT" w:cs="Courier New"/>
          <w:sz w:val="24"/>
          <w:szCs w:val="24"/>
          <w:lang w:val="es-MX"/>
        </w:rPr>
        <w:t>-</w:t>
      </w:r>
      <w:r w:rsidR="00FC2F3E">
        <w:rPr>
          <w:rFonts w:ascii="Futura Lt BT" w:hAnsi="Futura Lt BT" w:cs="Courier New"/>
          <w:sz w:val="24"/>
          <w:szCs w:val="24"/>
          <w:lang w:val="es-MX"/>
        </w:rPr>
        <w:t>20</w:t>
      </w:r>
      <w:r w:rsidRPr="007F352D">
        <w:rPr>
          <w:rFonts w:ascii="Futura Lt BT" w:hAnsi="Futura Lt BT" w:cs="Courier New"/>
          <w:sz w:val="24"/>
          <w:szCs w:val="24"/>
          <w:lang w:val="es-MX"/>
        </w:rPr>
        <w:t>.</w:t>
      </w:r>
      <w:r w:rsidR="00FC2F3E">
        <w:rPr>
          <w:rFonts w:ascii="Futura Lt BT" w:hAnsi="Futura Lt BT" w:cs="Courier New"/>
          <w:sz w:val="24"/>
          <w:szCs w:val="24"/>
          <w:lang w:val="es-MX"/>
        </w:rPr>
        <w:t>0</w:t>
      </w:r>
      <w:r w:rsidRPr="007F352D">
        <w:rPr>
          <w:rFonts w:ascii="Futura Lt BT" w:hAnsi="Futura Lt BT" w:cs="Courier New"/>
          <w:sz w:val="24"/>
          <w:szCs w:val="24"/>
          <w:lang w:val="es-MX"/>
        </w:rPr>
        <w:t>%)</w:t>
      </w:r>
      <w:r>
        <w:rPr>
          <w:rFonts w:ascii="Futura Lt BT" w:hAnsi="Futura Lt BT" w:cs="Courier New"/>
          <w:sz w:val="24"/>
          <w:szCs w:val="24"/>
          <w:lang w:val="es-MX"/>
        </w:rPr>
        <w:t>.</w:t>
      </w:r>
    </w:p>
    <w:p w:rsidR="001F2CE3" w:rsidRDefault="0095052E" w:rsidP="00834829">
      <w:pPr>
        <w:spacing w:after="0" w:line="276" w:lineRule="auto"/>
        <w:jc w:val="both"/>
        <w:rPr>
          <w:rFonts w:ascii="Futura Lt BT" w:hAnsi="Futura Lt BT" w:cs="Courier New"/>
          <w:sz w:val="24"/>
          <w:szCs w:val="24"/>
          <w:lang w:val="es-MX"/>
        </w:rPr>
      </w:pPr>
      <w:r w:rsidRPr="00D44B29">
        <w:rPr>
          <w:noProof/>
        </w:rPr>
        <w:lastRenderedPageBreak/>
        <w:drawing>
          <wp:anchor distT="0" distB="0" distL="114300" distR="114300" simplePos="0" relativeHeight="251761664" behindDoc="0" locked="0" layoutInCell="1" allowOverlap="1">
            <wp:simplePos x="0" y="0"/>
            <wp:positionH relativeFrom="margin">
              <wp:posOffset>2884805</wp:posOffset>
            </wp:positionH>
            <wp:positionV relativeFrom="paragraph">
              <wp:posOffset>186055</wp:posOffset>
            </wp:positionV>
            <wp:extent cx="2699073" cy="2474805"/>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9073" cy="2474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4B29">
        <w:rPr>
          <w:noProof/>
        </w:rPr>
        <w:drawing>
          <wp:anchor distT="0" distB="0" distL="114300" distR="114300" simplePos="0" relativeHeight="251760640" behindDoc="0" locked="0" layoutInCell="1" allowOverlap="1">
            <wp:simplePos x="0" y="0"/>
            <wp:positionH relativeFrom="margin">
              <wp:posOffset>-33020</wp:posOffset>
            </wp:positionH>
            <wp:positionV relativeFrom="paragraph">
              <wp:posOffset>219710</wp:posOffset>
            </wp:positionV>
            <wp:extent cx="2741295" cy="2600325"/>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1295" cy="2600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052E" w:rsidRDefault="0095052E" w:rsidP="00834829">
      <w:pPr>
        <w:spacing w:after="0" w:line="276" w:lineRule="auto"/>
        <w:jc w:val="both"/>
        <w:rPr>
          <w:rFonts w:ascii="Futura Lt BT" w:hAnsi="Futura Lt BT" w:cs="Courier New"/>
          <w:sz w:val="24"/>
          <w:szCs w:val="24"/>
          <w:lang w:val="es-MX"/>
        </w:rPr>
      </w:pPr>
    </w:p>
    <w:p w:rsidR="0095052E" w:rsidRDefault="0095052E" w:rsidP="00834829">
      <w:pPr>
        <w:spacing w:after="0" w:line="276" w:lineRule="auto"/>
        <w:jc w:val="both"/>
        <w:rPr>
          <w:rFonts w:ascii="Futura Lt BT" w:hAnsi="Futura Lt BT" w:cs="Courier New"/>
          <w:sz w:val="24"/>
          <w:szCs w:val="24"/>
          <w:lang w:val="es-MX"/>
        </w:rPr>
      </w:pPr>
    </w:p>
    <w:p w:rsidR="00834829" w:rsidRDefault="007F352D" w:rsidP="00834829">
      <w:pPr>
        <w:spacing w:after="0" w:line="276" w:lineRule="auto"/>
        <w:jc w:val="both"/>
        <w:rPr>
          <w:rFonts w:ascii="Futura Lt BT" w:hAnsi="Futura Lt BT" w:cs="Courier New"/>
          <w:sz w:val="24"/>
          <w:szCs w:val="24"/>
          <w:lang w:val="es-MX"/>
        </w:rPr>
      </w:pPr>
      <w:r w:rsidRPr="002C0399">
        <w:rPr>
          <w:rFonts w:ascii="Futura Lt BT" w:hAnsi="Futura Lt BT" w:cs="Courier New"/>
          <w:sz w:val="24"/>
          <w:szCs w:val="24"/>
          <w:lang w:val="es-MX"/>
        </w:rPr>
        <w:t>La cuenta del ingreso primario (renta)</w:t>
      </w:r>
      <w:bookmarkStart w:id="5" w:name="_Hlk98755824"/>
      <w:r w:rsidRPr="002C0399">
        <w:rPr>
          <w:rFonts w:ascii="Futura Lt BT" w:hAnsi="Futura Lt BT" w:cs="Courier New"/>
          <w:sz w:val="24"/>
          <w:szCs w:val="24"/>
          <w:lang w:val="es-MX"/>
        </w:rPr>
        <w:t xml:space="preserve"> registró un </w:t>
      </w:r>
      <w:r w:rsidR="00BA6147" w:rsidRPr="002C0399">
        <w:rPr>
          <w:rFonts w:ascii="Futura Lt BT" w:hAnsi="Futura Lt BT" w:cs="Courier New"/>
          <w:sz w:val="24"/>
          <w:szCs w:val="24"/>
          <w:lang w:val="es-MX"/>
        </w:rPr>
        <w:t>déficit</w:t>
      </w:r>
      <w:r w:rsidRPr="002C0399">
        <w:rPr>
          <w:rFonts w:ascii="Futura Lt BT" w:hAnsi="Futura Lt BT" w:cs="Courier New"/>
          <w:sz w:val="24"/>
          <w:szCs w:val="24"/>
          <w:lang w:val="es-MX"/>
        </w:rPr>
        <w:t xml:space="preserve"> de </w:t>
      </w:r>
      <w:r w:rsidR="007F0670" w:rsidRPr="002C0399">
        <w:rPr>
          <w:rFonts w:ascii="Futura Lt BT" w:hAnsi="Futura Lt BT" w:cs="Courier New"/>
          <w:sz w:val="24"/>
          <w:szCs w:val="24"/>
          <w:lang w:val="es-MX"/>
        </w:rPr>
        <w:t>268.3</w:t>
      </w:r>
      <w:r w:rsidRPr="002C0399">
        <w:rPr>
          <w:rFonts w:ascii="Futura Lt BT" w:hAnsi="Futura Lt BT" w:cs="Courier New"/>
          <w:sz w:val="24"/>
          <w:szCs w:val="24"/>
          <w:lang w:val="es-MX"/>
        </w:rPr>
        <w:t xml:space="preserve"> millones</w:t>
      </w:r>
      <w:r w:rsidR="00D170FC" w:rsidRPr="002C0399">
        <w:rPr>
          <w:rFonts w:ascii="Futura Lt BT" w:hAnsi="Futura Lt BT" w:cs="Courier New"/>
          <w:sz w:val="24"/>
          <w:szCs w:val="24"/>
          <w:lang w:val="es-MX"/>
        </w:rPr>
        <w:t>,</w:t>
      </w:r>
      <w:r w:rsidRPr="002C0399">
        <w:rPr>
          <w:rFonts w:ascii="Futura Lt BT" w:hAnsi="Futura Lt BT" w:cs="Courier New"/>
          <w:sz w:val="24"/>
          <w:szCs w:val="24"/>
          <w:lang w:val="es-MX"/>
        </w:rPr>
        <w:t xml:space="preserve"> asociado principalmente a</w:t>
      </w:r>
      <w:r w:rsidR="00844732" w:rsidRPr="002C0399">
        <w:rPr>
          <w:rFonts w:ascii="Futura Lt BT" w:hAnsi="Futura Lt BT" w:cs="Courier New"/>
          <w:sz w:val="24"/>
          <w:szCs w:val="24"/>
          <w:lang w:val="es-MX"/>
        </w:rPr>
        <w:t>l registro de l</w:t>
      </w:r>
      <w:r w:rsidRPr="002C0399">
        <w:rPr>
          <w:rFonts w:ascii="Futura Lt BT" w:hAnsi="Futura Lt BT" w:cs="Courier New"/>
          <w:sz w:val="24"/>
          <w:szCs w:val="24"/>
          <w:lang w:val="es-MX"/>
        </w:rPr>
        <w:t>a renta de la inversión</w:t>
      </w:r>
      <w:r w:rsidR="00844732" w:rsidRPr="002C0399">
        <w:rPr>
          <w:rFonts w:ascii="Futura Lt BT" w:hAnsi="Futura Lt BT" w:cs="Courier New"/>
          <w:sz w:val="24"/>
          <w:szCs w:val="24"/>
          <w:lang w:val="es-MX"/>
        </w:rPr>
        <w:t xml:space="preserve"> extranjera directa en el país (US$</w:t>
      </w:r>
      <w:r w:rsidR="00D13456" w:rsidRPr="002C0399">
        <w:rPr>
          <w:rFonts w:ascii="Futura Lt BT" w:hAnsi="Futura Lt BT" w:cs="Courier New"/>
          <w:sz w:val="24"/>
          <w:szCs w:val="24"/>
          <w:lang w:val="es-MX"/>
        </w:rPr>
        <w:t>283.8</w:t>
      </w:r>
      <w:r w:rsidR="00844732" w:rsidRPr="002C0399">
        <w:rPr>
          <w:rFonts w:ascii="Futura Lt BT" w:hAnsi="Futura Lt BT" w:cs="Courier New"/>
          <w:sz w:val="24"/>
          <w:szCs w:val="24"/>
          <w:lang w:val="es-MX"/>
        </w:rPr>
        <w:t xml:space="preserve"> millones) y </w:t>
      </w:r>
      <w:r w:rsidR="005F5BF8">
        <w:rPr>
          <w:rFonts w:ascii="Futura Lt BT" w:hAnsi="Futura Lt BT" w:cs="Courier New"/>
          <w:sz w:val="24"/>
          <w:szCs w:val="24"/>
          <w:lang w:val="es-MX"/>
        </w:rPr>
        <w:t xml:space="preserve">pago de </w:t>
      </w:r>
      <w:r w:rsidR="00844732" w:rsidRPr="002C0399">
        <w:rPr>
          <w:rFonts w:ascii="Futura Lt BT" w:hAnsi="Futura Lt BT" w:cs="Courier New"/>
          <w:sz w:val="24"/>
          <w:szCs w:val="24"/>
          <w:lang w:val="es-MX"/>
        </w:rPr>
        <w:t>intereses devengados de la deuda externa total (US$6</w:t>
      </w:r>
      <w:r w:rsidR="00FF7B56" w:rsidRPr="002C0399">
        <w:rPr>
          <w:rFonts w:ascii="Futura Lt BT" w:hAnsi="Futura Lt BT" w:cs="Courier New"/>
          <w:sz w:val="24"/>
          <w:szCs w:val="24"/>
          <w:lang w:val="es-MX"/>
        </w:rPr>
        <w:t>3</w:t>
      </w:r>
      <w:r w:rsidR="00844732" w:rsidRPr="002C0399">
        <w:rPr>
          <w:rFonts w:ascii="Futura Lt BT" w:hAnsi="Futura Lt BT" w:cs="Courier New"/>
          <w:sz w:val="24"/>
          <w:szCs w:val="24"/>
          <w:lang w:val="es-MX"/>
        </w:rPr>
        <w:t>.</w:t>
      </w:r>
      <w:r w:rsidR="00FF7B56" w:rsidRPr="002C0399">
        <w:rPr>
          <w:rFonts w:ascii="Futura Lt BT" w:hAnsi="Futura Lt BT" w:cs="Courier New"/>
          <w:sz w:val="24"/>
          <w:szCs w:val="24"/>
          <w:lang w:val="es-MX"/>
        </w:rPr>
        <w:t>3</w:t>
      </w:r>
      <w:r w:rsidR="00844732" w:rsidRPr="002C0399">
        <w:rPr>
          <w:rFonts w:ascii="Futura Lt BT" w:hAnsi="Futura Lt BT" w:cs="Courier New"/>
          <w:sz w:val="24"/>
          <w:szCs w:val="24"/>
          <w:lang w:val="es-MX"/>
        </w:rPr>
        <w:t xml:space="preserve"> millones)</w:t>
      </w:r>
      <w:r w:rsidR="00176108" w:rsidRPr="002C0399">
        <w:rPr>
          <w:rFonts w:ascii="Futura Lt BT" w:hAnsi="Futura Lt BT" w:cs="Courier New"/>
          <w:sz w:val="24"/>
          <w:szCs w:val="24"/>
          <w:lang w:val="es-MX"/>
        </w:rPr>
        <w:t xml:space="preserve">, </w:t>
      </w:r>
      <w:r w:rsidR="005F5BF8">
        <w:rPr>
          <w:rFonts w:ascii="Futura Lt BT" w:hAnsi="Futura Lt BT" w:cs="Courier New"/>
          <w:sz w:val="24"/>
          <w:szCs w:val="24"/>
          <w:lang w:val="es-MX"/>
        </w:rPr>
        <w:t xml:space="preserve">que superaron a los </w:t>
      </w:r>
      <w:r w:rsidR="00176108" w:rsidRPr="002C0399">
        <w:rPr>
          <w:rFonts w:ascii="Futura Lt BT" w:hAnsi="Futura Lt BT" w:cs="Courier New"/>
          <w:sz w:val="24"/>
          <w:szCs w:val="24"/>
          <w:lang w:val="es-MX"/>
        </w:rPr>
        <w:t>intereses devengados de las reservas del banco central (US$</w:t>
      </w:r>
      <w:r w:rsidR="00FF7B56" w:rsidRPr="002C0399">
        <w:rPr>
          <w:rFonts w:ascii="Futura Lt BT" w:hAnsi="Futura Lt BT" w:cs="Courier New"/>
          <w:sz w:val="24"/>
          <w:szCs w:val="24"/>
          <w:lang w:val="es-MX"/>
        </w:rPr>
        <w:t>44</w:t>
      </w:r>
      <w:r w:rsidR="00176108" w:rsidRPr="002C0399">
        <w:rPr>
          <w:rFonts w:ascii="Futura Lt BT" w:hAnsi="Futura Lt BT" w:cs="Courier New"/>
          <w:sz w:val="24"/>
          <w:szCs w:val="24"/>
          <w:lang w:val="es-MX"/>
        </w:rPr>
        <w:t>.</w:t>
      </w:r>
      <w:r w:rsidR="00FF7B56" w:rsidRPr="002C0399">
        <w:rPr>
          <w:rFonts w:ascii="Futura Lt BT" w:hAnsi="Futura Lt BT" w:cs="Courier New"/>
          <w:sz w:val="24"/>
          <w:szCs w:val="24"/>
          <w:lang w:val="es-MX"/>
        </w:rPr>
        <w:t>1</w:t>
      </w:r>
      <w:r w:rsidR="00176108" w:rsidRPr="002C0399">
        <w:rPr>
          <w:rFonts w:ascii="Futura Lt BT" w:hAnsi="Futura Lt BT" w:cs="Courier New"/>
          <w:sz w:val="24"/>
          <w:szCs w:val="24"/>
          <w:lang w:val="es-MX"/>
        </w:rPr>
        <w:t xml:space="preserve"> millones)</w:t>
      </w:r>
      <w:r w:rsidRPr="002C0399">
        <w:rPr>
          <w:rFonts w:ascii="Futura Lt BT" w:hAnsi="Futura Lt BT" w:cs="Courier New"/>
          <w:sz w:val="24"/>
          <w:szCs w:val="24"/>
          <w:lang w:val="es-MX"/>
        </w:rPr>
        <w:t>.</w:t>
      </w:r>
      <w:r w:rsidR="00176108" w:rsidRPr="002C0399">
        <w:rPr>
          <w:rFonts w:ascii="Futura Lt BT" w:hAnsi="Futura Lt BT" w:cs="Courier New"/>
          <w:sz w:val="24"/>
          <w:szCs w:val="24"/>
          <w:lang w:val="es-MX"/>
        </w:rPr>
        <w:t xml:space="preserve"> En términos interanuales, el </w:t>
      </w:r>
      <w:r w:rsidR="00B567C7" w:rsidRPr="002C0399">
        <w:rPr>
          <w:rFonts w:ascii="Futura Lt BT" w:hAnsi="Futura Lt BT" w:cs="Courier New"/>
          <w:sz w:val="24"/>
          <w:szCs w:val="24"/>
          <w:lang w:val="es-MX"/>
        </w:rPr>
        <w:t xml:space="preserve">déficit </w:t>
      </w:r>
      <w:r w:rsidR="0071254A" w:rsidRPr="002C0399">
        <w:rPr>
          <w:rFonts w:ascii="Futura Lt BT" w:hAnsi="Futura Lt BT" w:cs="Courier New"/>
          <w:sz w:val="24"/>
          <w:szCs w:val="24"/>
          <w:lang w:val="es-MX"/>
        </w:rPr>
        <w:t>del</w:t>
      </w:r>
      <w:r w:rsidR="00176108" w:rsidRPr="002C0399">
        <w:rPr>
          <w:rFonts w:ascii="Futura Lt BT" w:hAnsi="Futura Lt BT" w:cs="Courier New"/>
          <w:sz w:val="24"/>
          <w:szCs w:val="24"/>
          <w:lang w:val="es-MX"/>
        </w:rPr>
        <w:t xml:space="preserve"> ingreso primario </w:t>
      </w:r>
      <w:r w:rsidR="00675403">
        <w:rPr>
          <w:rFonts w:ascii="Futura Lt BT" w:hAnsi="Futura Lt BT" w:cs="Courier New"/>
          <w:sz w:val="24"/>
          <w:szCs w:val="24"/>
          <w:lang w:val="es-MX"/>
        </w:rPr>
        <w:t xml:space="preserve">se redujo en </w:t>
      </w:r>
      <w:r w:rsidR="00007036" w:rsidRPr="002C0399">
        <w:rPr>
          <w:rFonts w:ascii="Futura Lt BT" w:hAnsi="Futura Lt BT" w:cs="Courier New"/>
          <w:sz w:val="24"/>
          <w:szCs w:val="24"/>
          <w:lang w:val="es-MX"/>
        </w:rPr>
        <w:t>8.9</w:t>
      </w:r>
      <w:r w:rsidR="00176108" w:rsidRPr="002C0399">
        <w:rPr>
          <w:rFonts w:ascii="Futura Lt BT" w:hAnsi="Futura Lt BT" w:cs="Courier New"/>
          <w:sz w:val="24"/>
          <w:szCs w:val="24"/>
          <w:lang w:val="es-MX"/>
        </w:rPr>
        <w:t xml:space="preserve"> por ciento, debido a que los intereses de las reservas del </w:t>
      </w:r>
      <w:r w:rsidR="00675403">
        <w:rPr>
          <w:rFonts w:ascii="Futura Lt BT" w:hAnsi="Futura Lt BT" w:cs="Courier New"/>
          <w:sz w:val="24"/>
          <w:szCs w:val="24"/>
          <w:lang w:val="es-MX"/>
        </w:rPr>
        <w:t xml:space="preserve">banco central registraron un aumento (US$38.5 millones) mayor que </w:t>
      </w:r>
      <w:r w:rsidR="00675403" w:rsidRPr="002C0399">
        <w:rPr>
          <w:rFonts w:ascii="Futura Lt BT" w:hAnsi="Futura Lt BT" w:cs="Courier New"/>
          <w:sz w:val="24"/>
          <w:szCs w:val="24"/>
          <w:lang w:val="es-MX"/>
        </w:rPr>
        <w:t xml:space="preserve">el aumento </w:t>
      </w:r>
      <w:r w:rsidR="00176108" w:rsidRPr="00D57470">
        <w:rPr>
          <w:rFonts w:ascii="Futura Lt BT" w:hAnsi="Futura Lt BT" w:cs="Courier New"/>
          <w:sz w:val="24"/>
          <w:szCs w:val="24"/>
          <w:lang w:val="es-MX"/>
        </w:rPr>
        <w:t>de la renta de la inversión extranjera directa (US$</w:t>
      </w:r>
      <w:r w:rsidR="00B567C7">
        <w:rPr>
          <w:rFonts w:ascii="Futura Lt BT" w:hAnsi="Futura Lt BT" w:cs="Courier New"/>
          <w:sz w:val="24"/>
          <w:szCs w:val="24"/>
          <w:lang w:val="es-MX"/>
        </w:rPr>
        <w:t>11.7</w:t>
      </w:r>
      <w:r w:rsidR="00176108" w:rsidRPr="00D57470">
        <w:rPr>
          <w:rFonts w:ascii="Futura Lt BT" w:hAnsi="Futura Lt BT" w:cs="Courier New"/>
          <w:sz w:val="24"/>
          <w:szCs w:val="24"/>
          <w:lang w:val="es-MX"/>
        </w:rPr>
        <w:t xml:space="preserve"> millones). </w:t>
      </w:r>
      <w:r w:rsidRPr="00D57470">
        <w:rPr>
          <w:rFonts w:ascii="Futura Lt BT" w:hAnsi="Futura Lt BT" w:cs="Courier New"/>
          <w:sz w:val="24"/>
          <w:szCs w:val="24"/>
          <w:lang w:val="es-MX"/>
        </w:rPr>
        <w:t>Por su parte,</w:t>
      </w:r>
      <w:r w:rsidR="00022E6E" w:rsidRPr="00D57470">
        <w:rPr>
          <w:rFonts w:ascii="Futura Lt BT" w:hAnsi="Futura Lt BT" w:cs="Courier New"/>
          <w:sz w:val="24"/>
          <w:szCs w:val="24"/>
          <w:lang w:val="es-MX"/>
        </w:rPr>
        <w:t xml:space="preserve"> e</w:t>
      </w:r>
      <w:r w:rsidRPr="00D57470">
        <w:rPr>
          <w:rFonts w:ascii="Futura Lt BT" w:hAnsi="Futura Lt BT" w:cs="Courier New"/>
          <w:sz w:val="24"/>
          <w:szCs w:val="24"/>
          <w:lang w:val="es-MX"/>
        </w:rPr>
        <w:t>l ingreso secundario reflejó un superávit de 1,</w:t>
      </w:r>
      <w:r w:rsidR="00FF7B56" w:rsidRPr="00D57470">
        <w:rPr>
          <w:rFonts w:ascii="Futura Lt BT" w:hAnsi="Futura Lt BT" w:cs="Courier New"/>
          <w:sz w:val="24"/>
          <w:szCs w:val="24"/>
          <w:lang w:val="es-MX"/>
        </w:rPr>
        <w:t>199</w:t>
      </w:r>
      <w:r w:rsidRPr="00D57470">
        <w:rPr>
          <w:rFonts w:ascii="Futura Lt BT" w:hAnsi="Futura Lt BT" w:cs="Courier New"/>
          <w:sz w:val="24"/>
          <w:szCs w:val="24"/>
          <w:lang w:val="es-MX"/>
        </w:rPr>
        <w:t>.</w:t>
      </w:r>
      <w:r w:rsidR="00FF7B56" w:rsidRPr="00D57470">
        <w:rPr>
          <w:rFonts w:ascii="Futura Lt BT" w:hAnsi="Futura Lt BT" w:cs="Courier New"/>
          <w:sz w:val="24"/>
          <w:szCs w:val="24"/>
          <w:lang w:val="es-MX"/>
        </w:rPr>
        <w:t>6</w:t>
      </w:r>
      <w:r w:rsidRPr="00D57470">
        <w:rPr>
          <w:rFonts w:ascii="Futura Lt BT" w:hAnsi="Futura Lt BT" w:cs="Courier New"/>
          <w:sz w:val="24"/>
          <w:szCs w:val="24"/>
          <w:lang w:val="es-MX"/>
        </w:rPr>
        <w:t xml:space="preserve"> millones</w:t>
      </w:r>
      <w:r w:rsidR="004456CE" w:rsidRPr="00D57470">
        <w:rPr>
          <w:rFonts w:ascii="Futura Lt BT" w:hAnsi="Futura Lt BT" w:cs="Courier New"/>
          <w:sz w:val="24"/>
          <w:szCs w:val="24"/>
          <w:lang w:val="es-MX"/>
        </w:rPr>
        <w:t xml:space="preserve"> en el trimestre</w:t>
      </w:r>
      <w:r w:rsidRPr="007F352D">
        <w:rPr>
          <w:rFonts w:ascii="Futura Lt BT" w:hAnsi="Futura Lt BT" w:cs="Courier New"/>
          <w:sz w:val="24"/>
          <w:szCs w:val="24"/>
          <w:lang w:val="es-MX"/>
        </w:rPr>
        <w:t xml:space="preserve">, </w:t>
      </w:r>
      <w:r w:rsidR="00022E6E">
        <w:rPr>
          <w:rFonts w:ascii="Futura Lt BT" w:hAnsi="Futura Lt BT" w:cs="Courier New"/>
          <w:sz w:val="24"/>
          <w:szCs w:val="24"/>
          <w:lang w:val="es-MX"/>
        </w:rPr>
        <w:t xml:space="preserve">derivado </w:t>
      </w:r>
      <w:r w:rsidRPr="007F352D">
        <w:rPr>
          <w:rFonts w:ascii="Futura Lt BT" w:hAnsi="Futura Lt BT" w:cs="Courier New"/>
          <w:sz w:val="24"/>
          <w:szCs w:val="24"/>
          <w:lang w:val="es-MX"/>
        </w:rPr>
        <w:t>principalmente al dinamismo de los flujos de remesas (US$1,</w:t>
      </w:r>
      <w:r w:rsidR="00FF7B56">
        <w:rPr>
          <w:rFonts w:ascii="Futura Lt BT" w:hAnsi="Futura Lt BT" w:cs="Courier New"/>
          <w:sz w:val="24"/>
          <w:szCs w:val="24"/>
          <w:lang w:val="es-MX"/>
        </w:rPr>
        <w:t>194</w:t>
      </w:r>
      <w:r w:rsidRPr="007F352D">
        <w:rPr>
          <w:rFonts w:ascii="Futura Lt BT" w:hAnsi="Futura Lt BT" w:cs="Courier New"/>
          <w:sz w:val="24"/>
          <w:szCs w:val="24"/>
          <w:lang w:val="es-MX"/>
        </w:rPr>
        <w:t>.</w:t>
      </w:r>
      <w:r w:rsidR="00FF7B56">
        <w:rPr>
          <w:rFonts w:ascii="Futura Lt BT" w:hAnsi="Futura Lt BT" w:cs="Courier New"/>
          <w:sz w:val="24"/>
          <w:szCs w:val="24"/>
          <w:lang w:val="es-MX"/>
        </w:rPr>
        <w:t>7</w:t>
      </w:r>
      <w:r w:rsidRPr="007F352D">
        <w:rPr>
          <w:rFonts w:ascii="Futura Lt BT" w:hAnsi="Futura Lt BT" w:cs="Courier New"/>
          <w:sz w:val="24"/>
          <w:szCs w:val="24"/>
          <w:lang w:val="es-MX"/>
        </w:rPr>
        <w:t xml:space="preserve"> millones)</w:t>
      </w:r>
      <w:bookmarkEnd w:id="5"/>
      <w:r w:rsidRPr="007F352D">
        <w:rPr>
          <w:rFonts w:ascii="Futura Lt BT" w:hAnsi="Futura Lt BT" w:cs="Courier New"/>
          <w:sz w:val="24"/>
          <w:szCs w:val="24"/>
          <w:lang w:val="es-MX"/>
        </w:rPr>
        <w:t xml:space="preserve">, </w:t>
      </w:r>
      <w:r w:rsidR="00675403">
        <w:rPr>
          <w:rFonts w:ascii="Futura Lt BT" w:hAnsi="Futura Lt BT" w:cs="Courier New"/>
          <w:sz w:val="24"/>
          <w:szCs w:val="24"/>
          <w:lang w:val="es-MX"/>
        </w:rPr>
        <w:t xml:space="preserve">las cuales </w:t>
      </w:r>
      <w:r w:rsidRPr="007F352D">
        <w:rPr>
          <w:rFonts w:ascii="Futura Lt BT" w:hAnsi="Futura Lt BT" w:cs="Courier New"/>
          <w:sz w:val="24"/>
          <w:szCs w:val="24"/>
          <w:lang w:val="es-MX"/>
        </w:rPr>
        <w:t xml:space="preserve">registraron un incremento de </w:t>
      </w:r>
      <w:r w:rsidR="00FF7B56">
        <w:rPr>
          <w:rFonts w:ascii="Futura Lt BT" w:hAnsi="Futura Lt BT" w:cs="Courier New"/>
          <w:sz w:val="24"/>
          <w:szCs w:val="24"/>
          <w:lang w:val="es-MX"/>
        </w:rPr>
        <w:t>5</w:t>
      </w:r>
      <w:r w:rsidRPr="007F352D">
        <w:rPr>
          <w:rFonts w:ascii="Futura Lt BT" w:hAnsi="Futura Lt BT" w:cs="Courier New"/>
          <w:sz w:val="24"/>
          <w:szCs w:val="24"/>
          <w:lang w:val="es-MX"/>
        </w:rPr>
        <w:t>6.</w:t>
      </w:r>
      <w:r w:rsidR="00FF7B56">
        <w:rPr>
          <w:rFonts w:ascii="Futura Lt BT" w:hAnsi="Futura Lt BT" w:cs="Courier New"/>
          <w:sz w:val="24"/>
          <w:szCs w:val="24"/>
          <w:lang w:val="es-MX"/>
        </w:rPr>
        <w:t>5</w:t>
      </w:r>
      <w:r w:rsidRPr="007F352D">
        <w:rPr>
          <w:rFonts w:ascii="Futura Lt BT" w:hAnsi="Futura Lt BT" w:cs="Courier New"/>
          <w:sz w:val="24"/>
          <w:szCs w:val="24"/>
          <w:lang w:val="es-MX"/>
        </w:rPr>
        <w:t xml:space="preserve"> por ciento en términos interanuales</w:t>
      </w:r>
      <w:r w:rsidR="00834829" w:rsidRPr="00F45B28">
        <w:rPr>
          <w:rFonts w:ascii="Futura Lt BT" w:hAnsi="Futura Lt BT" w:cs="Courier New"/>
          <w:sz w:val="24"/>
          <w:szCs w:val="24"/>
          <w:lang w:val="es-MX"/>
        </w:rPr>
        <w:t>.</w:t>
      </w:r>
    </w:p>
    <w:p w:rsidR="00861854" w:rsidRDefault="00861854" w:rsidP="00834829">
      <w:pPr>
        <w:spacing w:after="0" w:line="276" w:lineRule="auto"/>
        <w:jc w:val="both"/>
        <w:rPr>
          <w:rFonts w:ascii="Futura Lt BT" w:hAnsi="Futura Lt BT" w:cs="Courier New"/>
          <w:sz w:val="24"/>
          <w:szCs w:val="24"/>
          <w:lang w:val="es-MX"/>
        </w:rPr>
      </w:pPr>
    </w:p>
    <w:p w:rsidR="003440D3" w:rsidRPr="004908B3" w:rsidRDefault="002C10A6" w:rsidP="003440D3">
      <w:pPr>
        <w:pStyle w:val="Estilo2"/>
        <w:numPr>
          <w:ilvl w:val="0"/>
          <w:numId w:val="4"/>
        </w:numPr>
        <w:jc w:val="left"/>
        <w:rPr>
          <w:b w:val="0"/>
          <w:bCs w:val="0"/>
        </w:rPr>
      </w:pPr>
      <w:r>
        <w:t>Resultados de la cuenta de Capital y Financiera</w:t>
      </w:r>
      <w:r>
        <w:rPr>
          <w:rStyle w:val="Refdenotaalpie"/>
        </w:rPr>
        <w:footnoteReference w:id="3"/>
      </w:r>
    </w:p>
    <w:p w:rsidR="003440D3" w:rsidRDefault="003440D3" w:rsidP="003440D3">
      <w:pPr>
        <w:spacing w:after="0" w:line="240" w:lineRule="auto"/>
        <w:jc w:val="both"/>
        <w:rPr>
          <w:rFonts w:ascii="Futura Lt BT" w:hAnsi="Futura Lt BT"/>
          <w:sz w:val="24"/>
          <w:szCs w:val="24"/>
        </w:rPr>
      </w:pPr>
    </w:p>
    <w:p w:rsidR="00EA11CB" w:rsidRDefault="002C10A6" w:rsidP="000200A3">
      <w:pPr>
        <w:spacing w:after="0" w:line="276" w:lineRule="auto"/>
        <w:jc w:val="both"/>
        <w:rPr>
          <w:rFonts w:ascii="Futura Lt BT" w:hAnsi="Futura Lt BT" w:cs="Courier New"/>
          <w:sz w:val="24"/>
          <w:szCs w:val="24"/>
          <w:lang w:val="es-MX"/>
        </w:rPr>
      </w:pPr>
      <w:r w:rsidRPr="002C10A6">
        <w:rPr>
          <w:rFonts w:ascii="Futura Lt BT" w:hAnsi="Futura Lt BT" w:cs="Courier New"/>
          <w:sz w:val="24"/>
          <w:szCs w:val="24"/>
          <w:lang w:val="es-MX"/>
        </w:rPr>
        <w:t xml:space="preserve">La cuenta de capital presentó un superávit </w:t>
      </w:r>
      <w:bookmarkStart w:id="6" w:name="_Hlk51159141"/>
      <w:r w:rsidRPr="002C10A6">
        <w:rPr>
          <w:rFonts w:ascii="Futura Lt BT" w:hAnsi="Futura Lt BT" w:cs="Courier New"/>
          <w:sz w:val="24"/>
          <w:szCs w:val="24"/>
          <w:lang w:val="es-MX"/>
        </w:rPr>
        <w:t>de 1.</w:t>
      </w:r>
      <w:r w:rsidR="00FF7B56">
        <w:rPr>
          <w:rFonts w:ascii="Futura Lt BT" w:hAnsi="Futura Lt BT" w:cs="Courier New"/>
          <w:sz w:val="24"/>
          <w:szCs w:val="24"/>
          <w:lang w:val="es-MX"/>
        </w:rPr>
        <w:t>9</w:t>
      </w:r>
      <w:r w:rsidRPr="002C10A6">
        <w:rPr>
          <w:rFonts w:ascii="Futura Lt BT" w:hAnsi="Futura Lt BT" w:cs="Courier New"/>
          <w:sz w:val="24"/>
          <w:szCs w:val="24"/>
          <w:lang w:val="es-MX"/>
        </w:rPr>
        <w:t xml:space="preserve"> millones de dólares en el </w:t>
      </w:r>
      <w:r w:rsidR="00FF7B56">
        <w:rPr>
          <w:rFonts w:ascii="Futura Lt BT" w:hAnsi="Futura Lt BT" w:cs="Courier New"/>
          <w:sz w:val="24"/>
          <w:szCs w:val="24"/>
          <w:lang w:val="es-MX"/>
        </w:rPr>
        <w:t>segundo</w:t>
      </w:r>
      <w:r w:rsidRPr="002C10A6">
        <w:rPr>
          <w:rFonts w:ascii="Futura Lt BT" w:hAnsi="Futura Lt BT" w:cs="Courier New"/>
          <w:sz w:val="24"/>
          <w:szCs w:val="24"/>
          <w:lang w:val="es-MX"/>
        </w:rPr>
        <w:t xml:space="preserve"> trimestre </w:t>
      </w:r>
      <w:r w:rsidR="00022E6E">
        <w:rPr>
          <w:rFonts w:ascii="Futura Lt BT" w:hAnsi="Futura Lt BT" w:cs="Courier New"/>
          <w:sz w:val="24"/>
          <w:szCs w:val="24"/>
          <w:lang w:val="es-MX"/>
        </w:rPr>
        <w:t>del año</w:t>
      </w:r>
      <w:r w:rsidR="00C161F7">
        <w:rPr>
          <w:rFonts w:ascii="Futura Lt BT" w:hAnsi="Futura Lt BT" w:cs="Courier New"/>
          <w:sz w:val="24"/>
          <w:szCs w:val="24"/>
          <w:lang w:val="es-MX"/>
        </w:rPr>
        <w:t xml:space="preserve"> </w:t>
      </w:r>
      <w:r w:rsidRPr="002C10A6">
        <w:rPr>
          <w:rFonts w:ascii="Futura Lt BT" w:hAnsi="Futura Lt BT" w:cs="Courier New"/>
          <w:sz w:val="24"/>
          <w:szCs w:val="24"/>
          <w:lang w:val="es-MX"/>
        </w:rPr>
        <w:t>(US$</w:t>
      </w:r>
      <w:r w:rsidR="00FF7B56">
        <w:rPr>
          <w:rFonts w:ascii="Futura Lt BT" w:hAnsi="Futura Lt BT" w:cs="Courier New"/>
          <w:sz w:val="24"/>
          <w:szCs w:val="24"/>
          <w:lang w:val="es-MX"/>
        </w:rPr>
        <w:t>12</w:t>
      </w:r>
      <w:r w:rsidRPr="002C10A6">
        <w:rPr>
          <w:rFonts w:ascii="Futura Lt BT" w:hAnsi="Futura Lt BT" w:cs="Courier New"/>
          <w:sz w:val="24"/>
          <w:szCs w:val="24"/>
          <w:lang w:val="es-MX"/>
        </w:rPr>
        <w:t>.</w:t>
      </w:r>
      <w:r w:rsidR="00FF7B56">
        <w:rPr>
          <w:rFonts w:ascii="Futura Lt BT" w:hAnsi="Futura Lt BT" w:cs="Courier New"/>
          <w:sz w:val="24"/>
          <w:szCs w:val="24"/>
          <w:lang w:val="es-MX"/>
        </w:rPr>
        <w:t>4</w:t>
      </w:r>
      <w:r w:rsidRPr="002C10A6">
        <w:rPr>
          <w:rFonts w:ascii="Futura Lt BT" w:hAnsi="Futura Lt BT" w:cs="Courier New"/>
          <w:sz w:val="24"/>
          <w:szCs w:val="24"/>
          <w:lang w:val="es-MX"/>
        </w:rPr>
        <w:t xml:space="preserve"> millones en </w:t>
      </w:r>
      <w:r w:rsidR="00022E6E">
        <w:rPr>
          <w:rFonts w:ascii="Futura Lt BT" w:hAnsi="Futura Lt BT" w:cs="Courier New"/>
          <w:sz w:val="24"/>
          <w:szCs w:val="24"/>
          <w:lang w:val="es-MX"/>
        </w:rPr>
        <w:t>I</w:t>
      </w:r>
      <w:r w:rsidR="00FF7B56">
        <w:rPr>
          <w:rFonts w:ascii="Futura Lt BT" w:hAnsi="Futura Lt BT" w:cs="Courier New"/>
          <w:sz w:val="24"/>
          <w:szCs w:val="24"/>
          <w:lang w:val="es-MX"/>
        </w:rPr>
        <w:t>I</w:t>
      </w:r>
      <w:r w:rsidR="00022E6E">
        <w:rPr>
          <w:rFonts w:ascii="Futura Lt BT" w:hAnsi="Futura Lt BT" w:cs="Courier New"/>
          <w:sz w:val="24"/>
          <w:szCs w:val="24"/>
          <w:lang w:val="es-MX"/>
        </w:rPr>
        <w:t xml:space="preserve"> trimestre </w:t>
      </w:r>
      <w:r w:rsidRPr="002C10A6">
        <w:rPr>
          <w:rFonts w:ascii="Futura Lt BT" w:hAnsi="Futura Lt BT" w:cs="Courier New"/>
          <w:sz w:val="24"/>
          <w:szCs w:val="24"/>
          <w:lang w:val="es-MX"/>
        </w:rPr>
        <w:t xml:space="preserve">2022), como resultado del ingreso de transferencias netas de capital (donaciones) recibidas </w:t>
      </w:r>
      <w:r w:rsidR="004E5F61">
        <w:rPr>
          <w:rFonts w:ascii="Futura Lt BT" w:hAnsi="Futura Lt BT" w:cs="Courier New"/>
          <w:sz w:val="24"/>
          <w:szCs w:val="24"/>
          <w:lang w:val="es-MX"/>
        </w:rPr>
        <w:t xml:space="preserve">en su totalidad </w:t>
      </w:r>
      <w:r w:rsidRPr="002C10A6">
        <w:rPr>
          <w:rFonts w:ascii="Futura Lt BT" w:hAnsi="Futura Lt BT" w:cs="Courier New"/>
          <w:sz w:val="24"/>
          <w:szCs w:val="24"/>
          <w:lang w:val="es-MX"/>
        </w:rPr>
        <w:t xml:space="preserve">por el </w:t>
      </w:r>
      <w:bookmarkEnd w:id="6"/>
      <w:r w:rsidR="004E5F61">
        <w:rPr>
          <w:rFonts w:ascii="Futura Lt BT" w:hAnsi="Futura Lt BT" w:cs="Courier New"/>
          <w:sz w:val="24"/>
          <w:szCs w:val="24"/>
          <w:lang w:val="es-MX"/>
        </w:rPr>
        <w:t>Gobierno Central</w:t>
      </w:r>
      <w:r w:rsidRPr="002C10A6">
        <w:rPr>
          <w:rFonts w:ascii="Futura Lt BT" w:hAnsi="Futura Lt BT" w:cs="Courier New"/>
          <w:sz w:val="24"/>
          <w:szCs w:val="24"/>
          <w:lang w:val="es-MX"/>
        </w:rPr>
        <w:t>.</w:t>
      </w:r>
      <w:bookmarkStart w:id="7" w:name="_Hlk98755900"/>
    </w:p>
    <w:p w:rsidR="00EA11CB" w:rsidRDefault="00EA11CB" w:rsidP="000200A3">
      <w:pPr>
        <w:spacing w:after="0" w:line="276" w:lineRule="auto"/>
        <w:jc w:val="both"/>
        <w:rPr>
          <w:rFonts w:cs="Courier New"/>
        </w:rPr>
      </w:pPr>
    </w:p>
    <w:p w:rsidR="002C10A6" w:rsidRPr="00EA11CB" w:rsidRDefault="002C10A6" w:rsidP="000200A3">
      <w:pPr>
        <w:spacing w:after="0" w:line="276" w:lineRule="auto"/>
        <w:jc w:val="both"/>
        <w:rPr>
          <w:rFonts w:ascii="Futura Lt BT" w:hAnsi="Futura Lt BT" w:cs="Courier New"/>
          <w:sz w:val="24"/>
          <w:szCs w:val="24"/>
          <w:lang w:val="es-MX"/>
        </w:rPr>
      </w:pPr>
      <w:r w:rsidRPr="00EA11CB">
        <w:rPr>
          <w:rFonts w:ascii="Futura Lt BT" w:hAnsi="Futura Lt BT" w:cs="Courier New"/>
          <w:sz w:val="24"/>
          <w:szCs w:val="24"/>
          <w:lang w:val="es-MX"/>
        </w:rPr>
        <w:t xml:space="preserve">Por su parte, la cuenta financiera presentó un </w:t>
      </w:r>
      <w:r w:rsidRPr="00FD4006">
        <w:rPr>
          <w:rFonts w:ascii="Futura Lt BT" w:hAnsi="Futura Lt BT" w:cs="Courier New"/>
          <w:sz w:val="24"/>
          <w:szCs w:val="24"/>
          <w:lang w:val="es-MX"/>
        </w:rPr>
        <w:t xml:space="preserve">saldo positivo de </w:t>
      </w:r>
      <w:r w:rsidR="007815A0" w:rsidRPr="00FD4006">
        <w:rPr>
          <w:rFonts w:ascii="Futura Lt BT" w:hAnsi="Futura Lt BT" w:cs="Courier New"/>
          <w:sz w:val="24"/>
          <w:szCs w:val="24"/>
          <w:lang w:val="es-MX"/>
        </w:rPr>
        <w:t>9</w:t>
      </w:r>
      <w:r w:rsidR="002E5BF6" w:rsidRPr="00FD4006">
        <w:rPr>
          <w:rFonts w:ascii="Futura Lt BT" w:hAnsi="Futura Lt BT" w:cs="Courier New"/>
          <w:sz w:val="24"/>
          <w:szCs w:val="24"/>
          <w:lang w:val="es-MX"/>
        </w:rPr>
        <w:t>.</w:t>
      </w:r>
      <w:r w:rsidR="007815A0" w:rsidRPr="00FD4006">
        <w:rPr>
          <w:rFonts w:ascii="Futura Lt BT" w:hAnsi="Futura Lt BT" w:cs="Courier New"/>
          <w:sz w:val="24"/>
          <w:szCs w:val="24"/>
          <w:lang w:val="es-MX"/>
        </w:rPr>
        <w:t>0</w:t>
      </w:r>
      <w:r w:rsidRPr="00FD4006">
        <w:rPr>
          <w:rFonts w:ascii="Futura Lt BT" w:hAnsi="Futura Lt BT" w:cs="Courier New"/>
          <w:sz w:val="24"/>
          <w:szCs w:val="24"/>
          <w:lang w:val="es-MX"/>
        </w:rPr>
        <w:t xml:space="preserve"> millones de dólares. Este resultado significó movimientos netos de capital desde la economía</w:t>
      </w:r>
      <w:r w:rsidRPr="00EA11CB">
        <w:rPr>
          <w:rFonts w:ascii="Futura Lt BT" w:hAnsi="Futura Lt BT" w:cs="Courier New"/>
          <w:sz w:val="24"/>
          <w:szCs w:val="24"/>
          <w:lang w:val="es-MX"/>
        </w:rPr>
        <w:t xml:space="preserve"> nicaragüense </w:t>
      </w:r>
      <w:r w:rsidRPr="00EA11CB">
        <w:rPr>
          <w:rFonts w:ascii="Futura Lt BT" w:hAnsi="Futura Lt BT" w:cs="Courier New"/>
          <w:sz w:val="24"/>
          <w:szCs w:val="24"/>
          <w:lang w:val="es-MX"/>
        </w:rPr>
        <w:lastRenderedPageBreak/>
        <w:t>hacia el exterior</w:t>
      </w:r>
      <w:bookmarkStart w:id="8" w:name="_Hlk99388597"/>
      <w:r w:rsidRPr="00EA11CB">
        <w:rPr>
          <w:rFonts w:ascii="Futura Lt BT" w:hAnsi="Futura Lt BT" w:cs="Courier New"/>
          <w:sz w:val="24"/>
          <w:szCs w:val="24"/>
          <w:lang w:val="es-MX"/>
        </w:rPr>
        <w:t xml:space="preserve">, </w:t>
      </w:r>
      <w:bookmarkStart w:id="9" w:name="_Hlk149305799"/>
      <w:r w:rsidR="00C161F7" w:rsidRPr="00EA11CB">
        <w:rPr>
          <w:rFonts w:ascii="Futura Lt BT" w:hAnsi="Futura Lt BT" w:cs="Courier New"/>
          <w:sz w:val="24"/>
          <w:szCs w:val="24"/>
          <w:lang w:val="es-MX"/>
        </w:rPr>
        <w:t>contrario</w:t>
      </w:r>
      <w:r w:rsidRPr="00EA11CB">
        <w:rPr>
          <w:rFonts w:ascii="Futura Lt BT" w:hAnsi="Futura Lt BT" w:cs="Courier New"/>
          <w:sz w:val="24"/>
          <w:szCs w:val="24"/>
          <w:lang w:val="es-MX"/>
        </w:rPr>
        <w:t xml:space="preserve"> al</w:t>
      </w:r>
      <w:r w:rsidR="006A3FEF" w:rsidRPr="00EA11CB">
        <w:rPr>
          <w:rFonts w:ascii="Futura Lt BT" w:hAnsi="Futura Lt BT" w:cs="Courier New"/>
          <w:sz w:val="24"/>
          <w:szCs w:val="24"/>
          <w:lang w:val="es-MX"/>
        </w:rPr>
        <w:t xml:space="preserve"> </w:t>
      </w:r>
      <w:r w:rsidR="00E703F2">
        <w:rPr>
          <w:rFonts w:ascii="Futura Lt BT" w:hAnsi="Futura Lt BT" w:cs="Courier New"/>
          <w:sz w:val="24"/>
          <w:szCs w:val="24"/>
          <w:lang w:val="es-MX"/>
        </w:rPr>
        <w:t xml:space="preserve">resultado de ingresos netos de </w:t>
      </w:r>
      <w:r w:rsidR="00565EE6">
        <w:rPr>
          <w:rFonts w:ascii="Futura Lt BT" w:hAnsi="Futura Lt BT" w:cs="Courier New"/>
          <w:sz w:val="24"/>
          <w:szCs w:val="24"/>
          <w:lang w:val="es-MX"/>
        </w:rPr>
        <w:t>404</w:t>
      </w:r>
      <w:r w:rsidRPr="00EA11CB">
        <w:rPr>
          <w:rFonts w:ascii="Futura Lt BT" w:hAnsi="Futura Lt BT" w:cs="Courier New"/>
          <w:sz w:val="24"/>
          <w:szCs w:val="24"/>
          <w:lang w:val="es-MX"/>
        </w:rPr>
        <w:t>.</w:t>
      </w:r>
      <w:r w:rsidR="00565EE6">
        <w:rPr>
          <w:rFonts w:ascii="Futura Lt BT" w:hAnsi="Futura Lt BT" w:cs="Courier New"/>
          <w:sz w:val="24"/>
          <w:szCs w:val="24"/>
          <w:lang w:val="es-MX"/>
        </w:rPr>
        <w:t>5</w:t>
      </w:r>
      <w:r w:rsidRPr="00EA11CB">
        <w:rPr>
          <w:rFonts w:ascii="Futura Lt BT" w:hAnsi="Futura Lt BT" w:cs="Courier New"/>
          <w:sz w:val="24"/>
          <w:szCs w:val="24"/>
          <w:lang w:val="es-MX"/>
        </w:rPr>
        <w:t xml:space="preserve"> millones</w:t>
      </w:r>
      <w:r w:rsidR="00E703F2">
        <w:rPr>
          <w:rFonts w:ascii="Futura Lt BT" w:hAnsi="Futura Lt BT" w:cs="Courier New"/>
          <w:sz w:val="24"/>
          <w:szCs w:val="24"/>
          <w:lang w:val="es-MX"/>
        </w:rPr>
        <w:t xml:space="preserve"> de dólares</w:t>
      </w:r>
      <w:bookmarkEnd w:id="7"/>
      <w:r w:rsidR="00E703F2">
        <w:rPr>
          <w:rFonts w:ascii="Futura Lt BT" w:hAnsi="Futura Lt BT" w:cs="Courier New"/>
          <w:sz w:val="24"/>
          <w:szCs w:val="24"/>
          <w:lang w:val="es-MX"/>
        </w:rPr>
        <w:t xml:space="preserve"> </w:t>
      </w:r>
      <w:r w:rsidR="00E703F2" w:rsidRPr="00EA11CB">
        <w:rPr>
          <w:rFonts w:ascii="Futura Lt BT" w:hAnsi="Futura Lt BT" w:cs="Courier New"/>
          <w:sz w:val="24"/>
          <w:szCs w:val="24"/>
          <w:lang w:val="es-MX"/>
        </w:rPr>
        <w:t xml:space="preserve">en el </w:t>
      </w:r>
      <w:r w:rsidR="00E703F2">
        <w:rPr>
          <w:rFonts w:ascii="Futura Lt BT" w:hAnsi="Futura Lt BT" w:cs="Courier New"/>
          <w:sz w:val="24"/>
          <w:szCs w:val="24"/>
          <w:lang w:val="es-MX"/>
        </w:rPr>
        <w:t>segundo</w:t>
      </w:r>
      <w:r w:rsidR="00E703F2" w:rsidRPr="00EA11CB">
        <w:rPr>
          <w:rFonts w:ascii="Futura Lt BT" w:hAnsi="Futura Lt BT" w:cs="Courier New"/>
          <w:sz w:val="24"/>
          <w:szCs w:val="24"/>
          <w:lang w:val="es-MX"/>
        </w:rPr>
        <w:t xml:space="preserve"> trimestre del año pasado</w:t>
      </w:r>
      <w:r w:rsidR="00E703F2">
        <w:rPr>
          <w:rFonts w:ascii="Futura Lt BT" w:hAnsi="Futura Lt BT" w:cs="Courier New"/>
          <w:sz w:val="24"/>
          <w:szCs w:val="24"/>
          <w:lang w:val="es-MX"/>
        </w:rPr>
        <w:t>, y de 244.2 millones en el trimestre anterior</w:t>
      </w:r>
      <w:r w:rsidRPr="00EA11CB">
        <w:rPr>
          <w:rFonts w:ascii="Futura Lt BT" w:hAnsi="Futura Lt BT" w:cs="Courier New"/>
          <w:sz w:val="24"/>
          <w:szCs w:val="24"/>
          <w:lang w:val="es-MX"/>
        </w:rPr>
        <w:t>.</w:t>
      </w:r>
      <w:bookmarkEnd w:id="8"/>
    </w:p>
    <w:bookmarkEnd w:id="9"/>
    <w:p w:rsidR="004E5F61" w:rsidRDefault="004E5F61" w:rsidP="000200A3">
      <w:pPr>
        <w:pStyle w:val="Textoindependiente"/>
        <w:spacing w:line="276" w:lineRule="auto"/>
        <w:rPr>
          <w:rFonts w:eastAsiaTheme="minorHAnsi" w:cs="Courier New"/>
          <w:lang w:eastAsia="en-US"/>
        </w:rPr>
      </w:pPr>
    </w:p>
    <w:p w:rsidR="00784485" w:rsidRDefault="00784485" w:rsidP="000200A3">
      <w:pPr>
        <w:pStyle w:val="Textoindependiente"/>
        <w:spacing w:line="276" w:lineRule="auto"/>
        <w:rPr>
          <w:rFonts w:eastAsiaTheme="minorHAnsi" w:cs="Courier New"/>
          <w:lang w:eastAsia="en-US"/>
        </w:rPr>
      </w:pPr>
      <w:r w:rsidRPr="00876859">
        <w:rPr>
          <w:rFonts w:eastAsiaTheme="minorHAnsi" w:cs="Courier New"/>
          <w:lang w:eastAsia="en-US"/>
        </w:rPr>
        <w:t xml:space="preserve">A nivel de los componentes normalizados de la cuenta financiera, se registró ingresos brutos de inversión extranjera directa (IED) de 614.1 millones de dólares, los cuales reflejaron un incremento de 22.5 por ciento </w:t>
      </w:r>
      <w:r>
        <w:rPr>
          <w:rFonts w:eastAsiaTheme="minorHAnsi" w:cs="Courier New"/>
          <w:lang w:eastAsia="en-US"/>
        </w:rPr>
        <w:t xml:space="preserve">con respecto a igual periodo de 2022 </w:t>
      </w:r>
      <w:r w:rsidRPr="00876859">
        <w:rPr>
          <w:rFonts w:eastAsiaTheme="minorHAnsi" w:cs="Courier New"/>
          <w:lang w:eastAsia="en-US"/>
        </w:rPr>
        <w:t>(US$</w:t>
      </w:r>
      <w:r w:rsidR="00E42257">
        <w:rPr>
          <w:rFonts w:eastAsiaTheme="minorHAnsi" w:cs="Courier New"/>
          <w:lang w:eastAsia="en-US"/>
        </w:rPr>
        <w:t>501.4</w:t>
      </w:r>
      <w:r w:rsidRPr="00876859">
        <w:rPr>
          <w:rFonts w:eastAsiaTheme="minorHAnsi" w:cs="Courier New"/>
          <w:lang w:eastAsia="en-US"/>
        </w:rPr>
        <w:t xml:space="preserve"> millones</w:t>
      </w:r>
      <w:r>
        <w:rPr>
          <w:rFonts w:eastAsiaTheme="minorHAnsi" w:cs="Courier New"/>
          <w:lang w:eastAsia="en-US"/>
        </w:rPr>
        <w:t>)</w:t>
      </w:r>
      <w:r w:rsidRPr="00876859">
        <w:rPr>
          <w:rFonts w:eastAsiaTheme="minorHAnsi" w:cs="Courier New"/>
          <w:lang w:eastAsia="en-US"/>
        </w:rPr>
        <w:t xml:space="preserve">. </w:t>
      </w:r>
      <w:r>
        <w:rPr>
          <w:rFonts w:eastAsiaTheme="minorHAnsi" w:cs="Courier New"/>
          <w:lang w:eastAsia="en-US"/>
        </w:rPr>
        <w:t>En acumulado al primer semestre, los ingresos brutos de IED sumaron 1,447.0 millones, siendo mayor en 28.9 por ciento (</w:t>
      </w:r>
      <w:r w:rsidR="009F7749">
        <w:rPr>
          <w:rFonts w:eastAsiaTheme="minorHAnsi" w:cs="Courier New"/>
          <w:lang w:eastAsia="en-US"/>
        </w:rPr>
        <w:t>+</w:t>
      </w:r>
      <w:r>
        <w:rPr>
          <w:rFonts w:eastAsiaTheme="minorHAnsi" w:cs="Courier New"/>
          <w:lang w:eastAsia="en-US"/>
        </w:rPr>
        <w:t>US$324.1 millones) en términos interanuales</w:t>
      </w:r>
      <w:r w:rsidR="009F7749">
        <w:rPr>
          <w:rFonts w:eastAsiaTheme="minorHAnsi" w:cs="Courier New"/>
          <w:lang w:eastAsia="en-US"/>
        </w:rPr>
        <w:t xml:space="preserve"> (US$1,122.9 millones en el primer semestre 2022)</w:t>
      </w:r>
      <w:r>
        <w:rPr>
          <w:rFonts w:eastAsiaTheme="minorHAnsi" w:cs="Courier New"/>
          <w:lang w:eastAsia="en-US"/>
        </w:rPr>
        <w:t xml:space="preserve">, debido principalmente a mayores desembolsos de préstamos entre empresas relacionadas (US$336.6 millones), además del incremento de la renta de la </w:t>
      </w:r>
      <w:r w:rsidRPr="00EC3AF6">
        <w:rPr>
          <w:rFonts w:eastAsiaTheme="minorHAnsi" w:cs="Courier New"/>
          <w:lang w:eastAsia="en-US"/>
        </w:rPr>
        <w:t>inversión (US$17.6 millones). Por</w:t>
      </w:r>
      <w:r>
        <w:rPr>
          <w:rFonts w:eastAsiaTheme="minorHAnsi" w:cs="Courier New"/>
          <w:lang w:eastAsia="en-US"/>
        </w:rPr>
        <w:t xml:space="preserve"> su parte, e</w:t>
      </w:r>
      <w:r w:rsidRPr="00876859">
        <w:rPr>
          <w:rFonts w:eastAsiaTheme="minorHAnsi" w:cs="Courier New"/>
          <w:lang w:eastAsia="en-US"/>
        </w:rPr>
        <w:t xml:space="preserve">l flujo neto de la IED </w:t>
      </w:r>
      <w:r>
        <w:rPr>
          <w:rFonts w:eastAsiaTheme="minorHAnsi" w:cs="Courier New"/>
          <w:lang w:eastAsia="en-US"/>
        </w:rPr>
        <w:t xml:space="preserve">en el trimestre </w:t>
      </w:r>
      <w:r w:rsidRPr="00876859">
        <w:rPr>
          <w:rFonts w:eastAsiaTheme="minorHAnsi" w:cs="Courier New"/>
          <w:lang w:eastAsia="en-US"/>
        </w:rPr>
        <w:t>resultó de 312.3 millones de dólares</w:t>
      </w:r>
      <w:r>
        <w:rPr>
          <w:rFonts w:eastAsiaTheme="minorHAnsi" w:cs="Courier New"/>
          <w:lang w:eastAsia="en-US"/>
        </w:rPr>
        <w:t>, para un acumulado de 867.9 millones</w:t>
      </w:r>
      <w:r w:rsidRPr="00876859">
        <w:rPr>
          <w:rFonts w:eastAsiaTheme="minorHAnsi" w:cs="Courier New"/>
          <w:lang w:eastAsia="en-US"/>
        </w:rPr>
        <w:t xml:space="preserve">, </w:t>
      </w:r>
      <w:r>
        <w:rPr>
          <w:rFonts w:eastAsiaTheme="minorHAnsi" w:cs="Courier New"/>
          <w:lang w:eastAsia="en-US"/>
        </w:rPr>
        <w:t xml:space="preserve">el cual fue </w:t>
      </w:r>
      <w:r w:rsidRPr="00876859">
        <w:rPr>
          <w:rFonts w:eastAsiaTheme="minorHAnsi" w:cs="Courier New"/>
          <w:lang w:eastAsia="en-US"/>
        </w:rPr>
        <w:t xml:space="preserve">menor en </w:t>
      </w:r>
      <w:r>
        <w:rPr>
          <w:rFonts w:eastAsiaTheme="minorHAnsi" w:cs="Courier New"/>
          <w:lang w:eastAsia="en-US"/>
        </w:rPr>
        <w:t>3.4</w:t>
      </w:r>
      <w:r w:rsidRPr="00876859">
        <w:rPr>
          <w:rFonts w:eastAsiaTheme="minorHAnsi" w:cs="Courier New"/>
          <w:lang w:eastAsia="en-US"/>
        </w:rPr>
        <w:t xml:space="preserve"> por ciento (-US$</w:t>
      </w:r>
      <w:r>
        <w:rPr>
          <w:rFonts w:eastAsiaTheme="minorHAnsi" w:cs="Courier New"/>
          <w:lang w:eastAsia="en-US"/>
        </w:rPr>
        <w:t>30.7</w:t>
      </w:r>
      <w:r w:rsidRPr="00876859">
        <w:rPr>
          <w:rFonts w:eastAsiaTheme="minorHAnsi" w:cs="Courier New"/>
          <w:lang w:eastAsia="en-US"/>
        </w:rPr>
        <w:t xml:space="preserve"> millones) </w:t>
      </w:r>
      <w:r>
        <w:rPr>
          <w:rFonts w:eastAsiaTheme="minorHAnsi" w:cs="Courier New"/>
          <w:lang w:eastAsia="en-US"/>
        </w:rPr>
        <w:t xml:space="preserve">con respecto al primer semestre de 2022 (US$898.6 millones), </w:t>
      </w:r>
      <w:r w:rsidRPr="00876859">
        <w:rPr>
          <w:rFonts w:eastAsiaTheme="minorHAnsi" w:cs="Courier New"/>
          <w:lang w:eastAsia="en-US"/>
        </w:rPr>
        <w:t>de</w:t>
      </w:r>
      <w:r>
        <w:rPr>
          <w:rFonts w:eastAsiaTheme="minorHAnsi" w:cs="Courier New"/>
          <w:lang w:eastAsia="en-US"/>
        </w:rPr>
        <w:t>rivado de mayores amortizaciones de deuda relacionada y pago de dividendos.</w:t>
      </w:r>
    </w:p>
    <w:p w:rsidR="004E5F61" w:rsidRDefault="004E5F61" w:rsidP="000200A3">
      <w:pPr>
        <w:pStyle w:val="Textoindependiente"/>
        <w:spacing w:line="276" w:lineRule="auto"/>
      </w:pPr>
      <w:bookmarkStart w:id="10" w:name="_Hlk140142211"/>
    </w:p>
    <w:p w:rsidR="00C96E09" w:rsidRDefault="00A875D0" w:rsidP="000200A3">
      <w:pPr>
        <w:pStyle w:val="Textoindependiente"/>
        <w:spacing w:line="276" w:lineRule="auto"/>
      </w:pPr>
      <w:bookmarkStart w:id="11" w:name="_Hlk149305987"/>
      <w:r w:rsidRPr="00A875D0">
        <w:t>En relación con los flujos de préstamos externos</w:t>
      </w:r>
      <w:bookmarkEnd w:id="11"/>
      <w:r w:rsidRPr="00A875D0">
        <w:t xml:space="preserve">, </w:t>
      </w:r>
      <w:bookmarkStart w:id="12" w:name="_Hlk149305968"/>
      <w:r w:rsidRPr="00A875D0">
        <w:t xml:space="preserve">se registró desembolsos netos (aumento de pasivos) de </w:t>
      </w:r>
      <w:r w:rsidR="007815A0" w:rsidRPr="004E2633">
        <w:t>7.3</w:t>
      </w:r>
      <w:r w:rsidRPr="00A875D0">
        <w:t xml:space="preserve"> millones de dólares</w:t>
      </w:r>
      <w:r w:rsidR="00C3252C">
        <w:t xml:space="preserve"> (US$55.3 millones en el segundo trimestre 2022)</w:t>
      </w:r>
      <w:r w:rsidRPr="00A875D0">
        <w:t xml:space="preserve">, como resultados del registro de 302.7 millones de dólares en concepto de desembolsos (excluyendo créditos comerciales), y </w:t>
      </w:r>
      <w:r w:rsidR="00E3201B">
        <w:t xml:space="preserve">pago de amortizaciones de </w:t>
      </w:r>
      <w:r w:rsidRPr="00A875D0">
        <w:t>301.8 millones</w:t>
      </w:r>
      <w:r w:rsidR="00E3201B">
        <w:t xml:space="preserve"> de dólares</w:t>
      </w:r>
      <w:r w:rsidRPr="00A875D0">
        <w:t>, entre otros ajustes devengados.</w:t>
      </w:r>
      <w:bookmarkEnd w:id="12"/>
      <w:r w:rsidRPr="00A875D0">
        <w:t xml:space="preserve"> </w:t>
      </w:r>
      <w:r w:rsidR="00C96E09" w:rsidRPr="00861854">
        <w:rPr>
          <w:rFonts w:cs="Courier New"/>
        </w:rPr>
        <w:t>En cambio, en el semestre se registró amortizaciones netas de deuda externa de 64.6 millones de dólares; mientras que en igual periodo de 2022 se registró desembolsos netos de 35.1 millones de dólares</w:t>
      </w:r>
      <w:r w:rsidR="00C96E09">
        <w:t xml:space="preserve">. </w:t>
      </w:r>
    </w:p>
    <w:p w:rsidR="00C96E09" w:rsidRDefault="00C96E09" w:rsidP="000200A3">
      <w:pPr>
        <w:pStyle w:val="Textoindependiente"/>
        <w:spacing w:line="276" w:lineRule="auto"/>
      </w:pPr>
    </w:p>
    <w:p w:rsidR="00A875D0" w:rsidRDefault="00A875D0" w:rsidP="000200A3">
      <w:pPr>
        <w:pStyle w:val="Textoindependiente"/>
        <w:spacing w:line="276" w:lineRule="auto"/>
      </w:pPr>
      <w:r w:rsidRPr="00A875D0">
        <w:t xml:space="preserve">Por sectores institucionales, </w:t>
      </w:r>
      <w:r w:rsidR="00C96E09">
        <w:t xml:space="preserve">en el trimestre </w:t>
      </w:r>
      <w:r w:rsidRPr="00A875D0">
        <w:t xml:space="preserve">las instituciones financieras captadoras de depósitos y el resto del sector privado registraron amortizaciones netas de 42.5 y 24.1 millones de dólares, respectivamente. Por su parte, el BCN registró amortización neta de 23.3 millones de dólares; mientras que el Gobierno General incrementó su pasivo de deuda externa en 98.6 millones de dólares (US$112.7 millones en </w:t>
      </w:r>
      <w:r>
        <w:t xml:space="preserve">el </w:t>
      </w:r>
      <w:r w:rsidRPr="00A875D0">
        <w:t xml:space="preserve">II trimestre </w:t>
      </w:r>
      <w:r>
        <w:t xml:space="preserve">de </w:t>
      </w:r>
      <w:r w:rsidRPr="00A875D0">
        <w:t>2022), debido a desembolsos de préstamos externos de 168.7 millones y pago de amortización de 74.4 millones, entre otros.</w:t>
      </w:r>
    </w:p>
    <w:bookmarkEnd w:id="10"/>
    <w:p w:rsidR="005B2094" w:rsidRDefault="00351D97" w:rsidP="00152CB7">
      <w:pPr>
        <w:pStyle w:val="Textoindependiente"/>
        <w:spacing w:line="120" w:lineRule="auto"/>
      </w:pPr>
      <w:r w:rsidRPr="004B03A7">
        <w:rPr>
          <w:noProof/>
        </w:rPr>
        <w:lastRenderedPageBreak/>
        <w:drawing>
          <wp:anchor distT="0" distB="0" distL="114300" distR="114300" simplePos="0" relativeHeight="251769856" behindDoc="0" locked="0" layoutInCell="1" allowOverlap="1">
            <wp:simplePos x="0" y="0"/>
            <wp:positionH relativeFrom="column">
              <wp:posOffset>2940050</wp:posOffset>
            </wp:positionH>
            <wp:positionV relativeFrom="paragraph">
              <wp:posOffset>36830</wp:posOffset>
            </wp:positionV>
            <wp:extent cx="2853055" cy="2258060"/>
            <wp:effectExtent l="0" t="0" r="0" b="889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3055" cy="2258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24A4" w:rsidRPr="00E202CB">
        <w:rPr>
          <w:noProof/>
        </w:rPr>
        <w:drawing>
          <wp:anchor distT="0" distB="0" distL="114300" distR="114300" simplePos="0" relativeHeight="251768832" behindDoc="0" locked="0" layoutInCell="1" allowOverlap="1">
            <wp:simplePos x="0" y="0"/>
            <wp:positionH relativeFrom="margin">
              <wp:posOffset>76835</wp:posOffset>
            </wp:positionH>
            <wp:positionV relativeFrom="paragraph">
              <wp:posOffset>6985</wp:posOffset>
            </wp:positionV>
            <wp:extent cx="2740660" cy="230378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0660" cy="230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2E4B">
        <w:t xml:space="preserve"> </w:t>
      </w:r>
    </w:p>
    <w:p w:rsidR="00351D97" w:rsidRDefault="00351D97" w:rsidP="00351D97">
      <w:pPr>
        <w:pStyle w:val="Textoindependiente"/>
        <w:spacing w:line="120" w:lineRule="auto"/>
      </w:pPr>
    </w:p>
    <w:p w:rsidR="002C10A6" w:rsidRDefault="006F7C18" w:rsidP="000200A3">
      <w:pPr>
        <w:pStyle w:val="Textoindependiente"/>
        <w:spacing w:line="276" w:lineRule="auto"/>
      </w:pPr>
      <w:r w:rsidRPr="00915317">
        <w:t xml:space="preserve">Por </w:t>
      </w:r>
      <w:r w:rsidR="0035079B">
        <w:t>otra parte</w:t>
      </w:r>
      <w:r w:rsidRPr="00915317">
        <w:t xml:space="preserve">, </w:t>
      </w:r>
      <w:r w:rsidR="0035079B" w:rsidRPr="00915317">
        <w:t xml:space="preserve">en el trimestre </w:t>
      </w:r>
      <w:r w:rsidR="0035079B">
        <w:rPr>
          <w:rFonts w:cs="Courier New"/>
        </w:rPr>
        <w:t xml:space="preserve">se registró aumento de 103.2 millones de dólares en el saldo de depósitos en el exterior de las instituciones financieras; </w:t>
      </w:r>
      <w:r w:rsidR="00351D97">
        <w:rPr>
          <w:rFonts w:cs="Courier New"/>
        </w:rPr>
        <w:t xml:space="preserve">y </w:t>
      </w:r>
      <w:r w:rsidR="0035079B">
        <w:rPr>
          <w:rFonts w:cs="Courier New"/>
        </w:rPr>
        <w:t>de 94.0 millones en depósitos en el exterior del sector privado no financiero</w:t>
      </w:r>
      <w:r w:rsidR="00351D97">
        <w:rPr>
          <w:rFonts w:cs="Courier New"/>
        </w:rPr>
        <w:t xml:space="preserve">. </w:t>
      </w:r>
      <w:r w:rsidR="00351D97" w:rsidRPr="00861854">
        <w:rPr>
          <w:rFonts w:cs="Courier New"/>
        </w:rPr>
        <w:t xml:space="preserve">En términos acumulados, los depósitos de las instituciones financieras disminuyeron en 20.4 millones de dólares; </w:t>
      </w:r>
      <w:r w:rsidR="00351D97">
        <w:rPr>
          <w:rFonts w:cs="Courier New"/>
        </w:rPr>
        <w:t xml:space="preserve">y </w:t>
      </w:r>
      <w:r w:rsidR="00351D97" w:rsidRPr="00861854">
        <w:rPr>
          <w:rFonts w:cs="Courier New"/>
        </w:rPr>
        <w:t xml:space="preserve">los depósitos del sector privado no financiero </w:t>
      </w:r>
      <w:r w:rsidR="00351D97">
        <w:rPr>
          <w:rFonts w:cs="Courier New"/>
        </w:rPr>
        <w:t xml:space="preserve">aumentaron en </w:t>
      </w:r>
      <w:r w:rsidR="00351D97" w:rsidRPr="00861854">
        <w:rPr>
          <w:rFonts w:cs="Courier New"/>
        </w:rPr>
        <w:t>58.0 millones</w:t>
      </w:r>
      <w:r w:rsidR="00351D97">
        <w:rPr>
          <w:rFonts w:cs="Courier New"/>
        </w:rPr>
        <w:t xml:space="preserve">. Mientras tanto, </w:t>
      </w:r>
      <w:r w:rsidR="00DC0C58" w:rsidRPr="00915317">
        <w:t>l</w:t>
      </w:r>
      <w:r w:rsidR="002C10A6" w:rsidRPr="00915317">
        <w:t xml:space="preserve">os </w:t>
      </w:r>
      <w:r w:rsidR="00A320C9" w:rsidRPr="00915317">
        <w:t>a</w:t>
      </w:r>
      <w:r w:rsidR="002C10A6" w:rsidRPr="00915317">
        <w:t xml:space="preserve">ctivos de </w:t>
      </w:r>
      <w:r w:rsidR="00A320C9" w:rsidRPr="00915317">
        <w:t>r</w:t>
      </w:r>
      <w:r w:rsidR="002C10A6" w:rsidRPr="00915317">
        <w:t>eserva</w:t>
      </w:r>
      <w:r w:rsidR="002C10A6" w:rsidRPr="005B2094">
        <w:rPr>
          <w:rStyle w:val="Refdenotaalpie"/>
          <w:rFonts w:ascii="Futura Md BT" w:eastAsia="MS Mincho" w:hAnsi="Futura Md BT" w:cs="Arial"/>
          <w:bCs/>
          <w:color w:val="000000" w:themeColor="text1"/>
          <w:kern w:val="32"/>
          <w:sz w:val="28"/>
          <w:szCs w:val="28"/>
          <w:lang w:val="es-ES"/>
        </w:rPr>
        <w:footnoteReference w:id="4"/>
      </w:r>
      <w:r w:rsidR="002C10A6" w:rsidRPr="005B2094">
        <w:rPr>
          <w:rStyle w:val="Refdenotaalpie"/>
          <w:rFonts w:ascii="Futura Md BT" w:eastAsia="MS Mincho" w:hAnsi="Futura Md BT" w:cs="Arial"/>
          <w:b/>
          <w:bCs/>
          <w:color w:val="004B85"/>
          <w:kern w:val="32"/>
          <w:sz w:val="28"/>
          <w:szCs w:val="28"/>
          <w:lang w:val="es-ES"/>
        </w:rPr>
        <w:t xml:space="preserve"> </w:t>
      </w:r>
      <w:r w:rsidR="002C10A6" w:rsidRPr="00915317">
        <w:t xml:space="preserve">del </w:t>
      </w:r>
      <w:r w:rsidR="005B2094">
        <w:t>banco central</w:t>
      </w:r>
      <w:r w:rsidR="002C10A6" w:rsidRPr="00915317">
        <w:t xml:space="preserve"> </w:t>
      </w:r>
      <w:r w:rsidR="0035079B">
        <w:t xml:space="preserve">registraron aumento de </w:t>
      </w:r>
      <w:r w:rsidR="00CA4FCD" w:rsidRPr="00915317">
        <w:t>13</w:t>
      </w:r>
      <w:r w:rsidR="002C10A6" w:rsidRPr="00915317">
        <w:t>4.</w:t>
      </w:r>
      <w:r w:rsidR="00CA4FCD" w:rsidRPr="00915317">
        <w:t>3</w:t>
      </w:r>
      <w:r w:rsidR="002C10A6" w:rsidRPr="00915317">
        <w:t xml:space="preserve"> millones de dólares (US$</w:t>
      </w:r>
      <w:r w:rsidR="00360951" w:rsidRPr="00915317">
        <w:t>135</w:t>
      </w:r>
      <w:r w:rsidR="002C10A6" w:rsidRPr="00915317">
        <w:t>.</w:t>
      </w:r>
      <w:r w:rsidR="00360951" w:rsidRPr="00915317">
        <w:t>3</w:t>
      </w:r>
      <w:r w:rsidR="002C10A6" w:rsidRPr="00915317">
        <w:t xml:space="preserve"> millones en RIB), </w:t>
      </w:r>
      <w:r w:rsidR="00062084" w:rsidRPr="00915317">
        <w:t xml:space="preserve">como resultado de </w:t>
      </w:r>
      <w:r w:rsidR="00351D97">
        <w:t xml:space="preserve">las operaciones cambiarias </w:t>
      </w:r>
      <w:r w:rsidR="002C2BB1" w:rsidRPr="00915317">
        <w:t>(US$261.3 millones</w:t>
      </w:r>
      <w:r w:rsidR="00351D97">
        <w:t xml:space="preserve"> en compras netas</w:t>
      </w:r>
      <w:r w:rsidR="002C2BB1" w:rsidRPr="00915317">
        <w:t xml:space="preserve">), </w:t>
      </w:r>
      <w:r w:rsidR="00062084" w:rsidRPr="002C2BB1">
        <w:t xml:space="preserve">ingresos de préstamos </w:t>
      </w:r>
      <w:r w:rsidR="000A7519" w:rsidRPr="002C2BB1">
        <w:t xml:space="preserve">externos </w:t>
      </w:r>
      <w:r w:rsidR="005B2094">
        <w:t xml:space="preserve">para el </w:t>
      </w:r>
      <w:r w:rsidR="00062084" w:rsidRPr="002C2BB1">
        <w:t>SPNF</w:t>
      </w:r>
      <w:r w:rsidR="000A7519" w:rsidRPr="002C2BB1">
        <w:t xml:space="preserve"> (US$1</w:t>
      </w:r>
      <w:r w:rsidR="004B03A7" w:rsidRPr="002C2BB1">
        <w:t>25.2</w:t>
      </w:r>
      <w:r w:rsidR="000A7519" w:rsidRPr="002C2BB1">
        <w:t xml:space="preserve"> millones),</w:t>
      </w:r>
      <w:r w:rsidR="002C2BB1">
        <w:t xml:space="preserve"> e intereses recibidos por inversiones </w:t>
      </w:r>
      <w:r w:rsidR="004B03A7">
        <w:t>(US$</w:t>
      </w:r>
      <w:r w:rsidR="002C2BB1">
        <w:t>2</w:t>
      </w:r>
      <w:r w:rsidR="004B03A7">
        <w:t>3.</w:t>
      </w:r>
      <w:r w:rsidR="002C2BB1">
        <w:t>7</w:t>
      </w:r>
      <w:r w:rsidR="004B03A7">
        <w:t xml:space="preserve"> millones)</w:t>
      </w:r>
      <w:r w:rsidR="000A7519">
        <w:t xml:space="preserve">, los cuales fueron atenuados por el </w:t>
      </w:r>
      <w:r w:rsidR="000A7519" w:rsidRPr="002C2BB1">
        <w:t>pago del servicio de la deuda externa</w:t>
      </w:r>
      <w:r w:rsidR="005B2094">
        <w:t xml:space="preserve"> pública</w:t>
      </w:r>
      <w:r w:rsidR="000A7519" w:rsidRPr="002C2BB1">
        <w:t xml:space="preserve"> (US$1</w:t>
      </w:r>
      <w:r w:rsidR="00881E41" w:rsidRPr="002C2BB1">
        <w:t>61.9</w:t>
      </w:r>
      <w:r w:rsidR="000A7519" w:rsidRPr="002C2BB1">
        <w:t xml:space="preserve"> millones)</w:t>
      </w:r>
      <w:r w:rsidR="002C2BB1">
        <w:t>, redención neta de títulos (US$67.2 millones), disminución neta de los depósitos del SPNF (US$66.7 millones)</w:t>
      </w:r>
      <w:r w:rsidR="00351D97">
        <w:t>, entre otras operaciones monetarias</w:t>
      </w:r>
      <w:r w:rsidR="00062084" w:rsidRPr="00062084">
        <w:t>.</w:t>
      </w:r>
      <w:r w:rsidR="00C96E09">
        <w:t xml:space="preserve"> </w:t>
      </w:r>
      <w:r w:rsidR="005D101A">
        <w:t xml:space="preserve">Como resultado de lo anterior, </w:t>
      </w:r>
      <w:r w:rsidR="00C96E09">
        <w:t>los activos de reservas del BCN registra</w:t>
      </w:r>
      <w:r w:rsidR="005D101A">
        <w:t xml:space="preserve">ron un aumento de </w:t>
      </w:r>
      <w:r w:rsidR="00C96E09">
        <w:t>572.6 millones de dólares (US$584.7 millones en RIB</w:t>
      </w:r>
      <w:r w:rsidR="005D101A">
        <w:t>) en el primer semestre del año.</w:t>
      </w:r>
    </w:p>
    <w:p w:rsidR="00351D97" w:rsidRDefault="00351D97" w:rsidP="000200A3">
      <w:pPr>
        <w:pStyle w:val="Textoindependiente"/>
        <w:spacing w:line="276" w:lineRule="auto"/>
      </w:pPr>
    </w:p>
    <w:p w:rsidR="00C272ED" w:rsidRDefault="00861854" w:rsidP="00861854">
      <w:pPr>
        <w:spacing w:after="0" w:line="276" w:lineRule="auto"/>
        <w:jc w:val="center"/>
        <w:rPr>
          <w:rFonts w:ascii="Futura Lt BT" w:hAnsi="Futura Lt BT" w:cs="Courier New"/>
          <w:sz w:val="24"/>
          <w:szCs w:val="24"/>
          <w:lang w:val="es-MX"/>
        </w:rPr>
      </w:pPr>
      <w:r w:rsidRPr="00D44B29">
        <w:rPr>
          <w:noProof/>
        </w:rPr>
        <w:drawing>
          <wp:inline distT="0" distB="0" distL="0" distR="0">
            <wp:extent cx="2847975" cy="206502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7">
                      <a:extLst>
                        <a:ext uri="{28A0092B-C50C-407E-A947-70E740481C1C}">
                          <a14:useLocalDpi xmlns:a14="http://schemas.microsoft.com/office/drawing/2010/main" val="0"/>
                        </a:ext>
                      </a:extLst>
                    </a:blip>
                    <a:srcRect t="4504" r="5960"/>
                    <a:stretch/>
                  </pic:blipFill>
                  <pic:spPr bwMode="auto">
                    <a:xfrm>
                      <a:off x="0" y="0"/>
                      <a:ext cx="2847975" cy="2065020"/>
                    </a:xfrm>
                    <a:prstGeom prst="rect">
                      <a:avLst/>
                    </a:prstGeom>
                    <a:noFill/>
                    <a:ln>
                      <a:noFill/>
                    </a:ln>
                    <a:extLst>
                      <a:ext uri="{53640926-AAD7-44D8-BBD7-CCE9431645EC}">
                        <a14:shadowObscured xmlns:a14="http://schemas.microsoft.com/office/drawing/2010/main"/>
                      </a:ext>
                    </a:extLst>
                  </pic:spPr>
                </pic:pic>
              </a:graphicData>
            </a:graphic>
          </wp:inline>
        </w:drawing>
      </w:r>
    </w:p>
    <w:p w:rsidR="002C10A6" w:rsidRDefault="002C10A6" w:rsidP="000200A3">
      <w:pPr>
        <w:pStyle w:val="Textoindependiente"/>
        <w:spacing w:line="276" w:lineRule="auto"/>
      </w:pPr>
      <w:bookmarkStart w:id="13" w:name="_Hlk98756128"/>
      <w:bookmarkStart w:id="14" w:name="_Hlk51321997"/>
      <w:bookmarkStart w:id="15" w:name="_Hlk77683083"/>
      <w:bookmarkStart w:id="16" w:name="_Hlk149306072"/>
      <w:r w:rsidRPr="006209DF">
        <w:lastRenderedPageBreak/>
        <w:t xml:space="preserve">Como resultado del saldo de la cuenta corriente y de capital, </w:t>
      </w:r>
      <w:r w:rsidR="00152CB7">
        <w:t xml:space="preserve">en el segundo trimestre de 2023 </w:t>
      </w:r>
      <w:r w:rsidRPr="006209DF">
        <w:t xml:space="preserve">la balanza de pagos registró </w:t>
      </w:r>
      <w:r w:rsidR="00A47A1A">
        <w:t xml:space="preserve">flujo </w:t>
      </w:r>
      <w:r w:rsidR="00202520">
        <w:t>de préstamo</w:t>
      </w:r>
      <w:r w:rsidR="00FE7956">
        <w:t xml:space="preserve"> neto hacia el</w:t>
      </w:r>
      <w:r w:rsidR="00A47A1A">
        <w:t xml:space="preserve"> </w:t>
      </w:r>
      <w:r w:rsidRPr="006209DF">
        <w:t xml:space="preserve">exterior </w:t>
      </w:r>
      <w:r w:rsidR="00A47A1A">
        <w:t xml:space="preserve">por </w:t>
      </w:r>
      <w:r w:rsidR="006C3960">
        <w:t>468.0</w:t>
      </w:r>
      <w:r w:rsidRPr="006209DF">
        <w:t xml:space="preserve"> millones de dólares</w:t>
      </w:r>
      <w:bookmarkEnd w:id="13"/>
      <w:r w:rsidRPr="006209DF">
        <w:t xml:space="preserve"> </w:t>
      </w:r>
      <w:bookmarkEnd w:id="14"/>
      <w:r w:rsidR="00FE7956">
        <w:t>(US$</w:t>
      </w:r>
      <w:r w:rsidR="00BA4EE9">
        <w:t>5.1</w:t>
      </w:r>
      <w:r w:rsidR="00A47A1A">
        <w:t xml:space="preserve"> millones en</w:t>
      </w:r>
      <w:r w:rsidR="00FE7956">
        <w:t xml:space="preserve"> el </w:t>
      </w:r>
      <w:r w:rsidR="00C3252C">
        <w:t>segundo</w:t>
      </w:r>
      <w:r w:rsidR="00FE7956">
        <w:t xml:space="preserve"> trimestre de</w:t>
      </w:r>
      <w:r w:rsidR="00A47A1A">
        <w:t xml:space="preserve"> 2022</w:t>
      </w:r>
      <w:r w:rsidR="00FE7956">
        <w:t>)</w:t>
      </w:r>
      <w:r w:rsidRPr="006209DF">
        <w:t>.</w:t>
      </w:r>
      <w:r w:rsidR="00FE7956">
        <w:t xml:space="preserve"> Así, e</w:t>
      </w:r>
      <w:r w:rsidR="00152CB7">
        <w:t xml:space="preserve">l resultado </w:t>
      </w:r>
      <w:r w:rsidR="00FE7956">
        <w:t>acumulado</w:t>
      </w:r>
      <w:r w:rsidR="00152CB7">
        <w:t xml:space="preserve"> en enero-junio</w:t>
      </w:r>
      <w:r w:rsidR="00FE7956">
        <w:t xml:space="preserve">, </w:t>
      </w:r>
      <w:r w:rsidR="00152CB7">
        <w:t xml:space="preserve">fue de </w:t>
      </w:r>
      <w:r w:rsidR="00FE7956">
        <w:t>un flujo neto de capital hacia el exterior de 980.0 millones de dólares</w:t>
      </w:r>
      <w:r w:rsidR="00152CB7">
        <w:t xml:space="preserve">, </w:t>
      </w:r>
      <w:r w:rsidR="00FE7956">
        <w:t>contrario al endeudamiento neto de 129.2 millones en el primer semestre de 2022.</w:t>
      </w:r>
    </w:p>
    <w:p w:rsidR="004E2633" w:rsidRPr="006209DF" w:rsidRDefault="004E2633" w:rsidP="000200A3">
      <w:pPr>
        <w:pStyle w:val="Textoindependiente"/>
        <w:spacing w:line="276" w:lineRule="auto"/>
        <w:rPr>
          <w:noProof/>
          <w:sz w:val="28"/>
          <w:lang w:eastAsia="es-NI"/>
        </w:rPr>
      </w:pPr>
    </w:p>
    <w:bookmarkEnd w:id="15"/>
    <w:bookmarkEnd w:id="16"/>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170"/>
      </w:tblGrid>
      <w:tr w:rsidR="00866833" w:rsidTr="002C10A6">
        <w:tc>
          <w:tcPr>
            <w:tcW w:w="4668" w:type="dxa"/>
          </w:tcPr>
          <w:p w:rsidR="00A77DE3" w:rsidRDefault="00A77DE3" w:rsidP="004908B3">
            <w:pPr>
              <w:spacing w:line="276" w:lineRule="auto"/>
              <w:jc w:val="both"/>
              <w:rPr>
                <w:rFonts w:ascii="Futura Lt BT" w:hAnsi="Futura Lt BT" w:cs="Courier New"/>
                <w:sz w:val="24"/>
                <w:szCs w:val="24"/>
                <w:lang w:val="es-MX"/>
              </w:rPr>
            </w:pPr>
          </w:p>
        </w:tc>
        <w:tc>
          <w:tcPr>
            <w:tcW w:w="4170" w:type="dxa"/>
          </w:tcPr>
          <w:p w:rsidR="00A77DE3" w:rsidRDefault="00A77DE3" w:rsidP="004908B3">
            <w:pPr>
              <w:spacing w:line="276" w:lineRule="auto"/>
              <w:jc w:val="both"/>
              <w:rPr>
                <w:rFonts w:ascii="Futura Lt BT" w:hAnsi="Futura Lt BT" w:cs="Courier New"/>
                <w:sz w:val="24"/>
                <w:szCs w:val="24"/>
                <w:lang w:val="es-MX"/>
              </w:rPr>
            </w:pPr>
          </w:p>
        </w:tc>
      </w:tr>
    </w:tbl>
    <w:p w:rsidR="00861F68" w:rsidRDefault="0070746B" w:rsidP="00DB6E12">
      <w:pPr>
        <w:pStyle w:val="Estilo2"/>
        <w:ind w:left="862"/>
      </w:pPr>
      <w:r>
        <w:lastRenderedPageBreak/>
        <w:t>A</w:t>
      </w:r>
      <w:r w:rsidR="003440D3">
        <w:t>nexo</w:t>
      </w:r>
      <w:r w:rsidR="00D56766">
        <w:t xml:space="preserve"> estadístico</w:t>
      </w:r>
    </w:p>
    <w:p w:rsidR="008076DB" w:rsidRDefault="008076DB" w:rsidP="00DB6E12">
      <w:pPr>
        <w:pStyle w:val="Estilo2"/>
        <w:ind w:left="862"/>
      </w:pPr>
      <w:r w:rsidRPr="008076DB">
        <w:rPr>
          <w:noProof/>
        </w:rPr>
        <w:drawing>
          <wp:inline distT="0" distB="0" distL="0" distR="0">
            <wp:extent cx="4633581" cy="7766177"/>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9574" cy="7792983"/>
                    </a:xfrm>
                    <a:prstGeom prst="rect">
                      <a:avLst/>
                    </a:prstGeom>
                    <a:noFill/>
                    <a:ln>
                      <a:noFill/>
                    </a:ln>
                  </pic:spPr>
                </pic:pic>
              </a:graphicData>
            </a:graphic>
          </wp:inline>
        </w:drawing>
      </w:r>
    </w:p>
    <w:sectPr w:rsidR="008076DB">
      <w:headerReference w:type="default" r:id="rId19"/>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E3B50" w16cex:dateUtc="2023-05-04T20:10:00Z"/>
  <w16cex:commentExtensible w16cex:durableId="27FE3C86" w16cex:dateUtc="2023-05-04T20:15:00Z"/>
  <w16cex:commentExtensible w16cex:durableId="27FE3E25" w16cex:dateUtc="2023-05-04T20:22:00Z"/>
  <w16cex:commentExtensible w16cex:durableId="27FE3EAC" w16cex:dateUtc="2023-05-04T20: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A6C" w:rsidRDefault="00012A6C" w:rsidP="00915142">
      <w:pPr>
        <w:spacing w:after="0" w:line="240" w:lineRule="auto"/>
      </w:pPr>
      <w:r>
        <w:separator/>
      </w:r>
    </w:p>
  </w:endnote>
  <w:endnote w:type="continuationSeparator" w:id="0">
    <w:p w:rsidR="00012A6C" w:rsidRDefault="00012A6C" w:rsidP="00915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utura Md BT">
    <w:panose1 w:val="020B06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A6C" w:rsidRDefault="00012A6C" w:rsidP="00915142">
      <w:pPr>
        <w:spacing w:after="0" w:line="240" w:lineRule="auto"/>
      </w:pPr>
      <w:r>
        <w:separator/>
      </w:r>
    </w:p>
  </w:footnote>
  <w:footnote w:type="continuationSeparator" w:id="0">
    <w:p w:rsidR="00012A6C" w:rsidRDefault="00012A6C" w:rsidP="00915142">
      <w:pPr>
        <w:spacing w:after="0" w:line="240" w:lineRule="auto"/>
      </w:pPr>
      <w:r>
        <w:continuationSeparator/>
      </w:r>
    </w:p>
  </w:footnote>
  <w:footnote w:id="1">
    <w:p w:rsidR="007F352D" w:rsidRPr="007F352D" w:rsidRDefault="007F352D">
      <w:pPr>
        <w:pStyle w:val="Textonotapie"/>
        <w:rPr>
          <w:lang w:val="es-MX"/>
        </w:rPr>
      </w:pPr>
      <w:r>
        <w:rPr>
          <w:rStyle w:val="Refdenotaalpie"/>
        </w:rPr>
        <w:footnoteRef/>
      </w:r>
      <w:r>
        <w:t xml:space="preserve"> </w:t>
      </w:r>
      <w:r w:rsidRPr="00DF079A">
        <w:rPr>
          <w:rFonts w:ascii="Futura Lt BT" w:hAnsi="Futura Lt BT" w:cs="Segoe UI"/>
          <w:color w:val="51545D"/>
          <w:sz w:val="18"/>
          <w:szCs w:val="18"/>
          <w:shd w:val="clear" w:color="auto" w:fill="FFFFFF"/>
        </w:rPr>
        <w:t>La Balanza de Pagos resume las transacciones económicas entre residentes y no residentes durante un período determinado. Las cuentas que conforman la BP se organizan de cuerdo a la naturaleza de los recursos económicos suministrados y recibidos. La cuenta corriente muestra las transacciones de bienes, servicios, ingreso primario (renta) e ingreso secundario (</w:t>
      </w:r>
      <w:hyperlink r:id="rId1" w:tgtFrame="_blank" w:history="1">
        <w:r w:rsidRPr="00DF079A">
          <w:rPr>
            <w:rFonts w:ascii="Futura Lt BT" w:hAnsi="Futura Lt BT" w:cs="Segoe UI"/>
            <w:color w:val="51545D"/>
            <w:sz w:val="18"/>
            <w:szCs w:val="18"/>
            <w:shd w:val="clear" w:color="auto" w:fill="FFFFFF"/>
          </w:rPr>
          <w:t>transferencias corrientes</w:t>
        </w:r>
      </w:hyperlink>
      <w:r w:rsidRPr="00DF079A">
        <w:rPr>
          <w:rFonts w:ascii="Futura Lt BT" w:hAnsi="Futura Lt BT" w:cs="Segoe UI"/>
          <w:color w:val="51545D"/>
          <w:sz w:val="18"/>
          <w:szCs w:val="18"/>
          <w:shd w:val="clear" w:color="auto" w:fill="FFFFFF"/>
        </w:rPr>
        <w:t>).</w:t>
      </w:r>
    </w:p>
  </w:footnote>
  <w:footnote w:id="2">
    <w:p w:rsidR="007F352D" w:rsidRPr="008C0859" w:rsidRDefault="007F352D" w:rsidP="007F352D">
      <w:pPr>
        <w:pStyle w:val="Textonotapie"/>
        <w:jc w:val="both"/>
        <w:rPr>
          <w:lang w:val="es-MX"/>
        </w:rPr>
      </w:pPr>
      <w:r>
        <w:rPr>
          <w:rStyle w:val="Refdenotaalpie"/>
        </w:rPr>
        <w:footnoteRef/>
      </w:r>
      <w:r>
        <w:t xml:space="preserve"> </w:t>
      </w:r>
      <w:r>
        <w:rPr>
          <w:rFonts w:ascii="Futura Lt BT" w:hAnsi="Futura Lt BT" w:cs="Segoe UI"/>
          <w:color w:val="51545D"/>
          <w:sz w:val="18"/>
          <w:szCs w:val="18"/>
          <w:shd w:val="clear" w:color="auto" w:fill="FFFFFF"/>
        </w:rPr>
        <w:t xml:space="preserve">Conforme el VI Manual de </w:t>
      </w:r>
      <w:r w:rsidRPr="00DF079A">
        <w:rPr>
          <w:rFonts w:ascii="Futura Lt BT" w:hAnsi="Futura Lt BT" w:cs="Segoe UI"/>
          <w:color w:val="51545D"/>
          <w:sz w:val="18"/>
          <w:szCs w:val="18"/>
          <w:shd w:val="clear" w:color="auto" w:fill="FFFFFF"/>
        </w:rPr>
        <w:t>Balanza de Pagos</w:t>
      </w:r>
      <w:r>
        <w:rPr>
          <w:rFonts w:ascii="Futura Lt BT" w:hAnsi="Futura Lt BT" w:cs="Segoe UI"/>
          <w:color w:val="51545D"/>
          <w:sz w:val="18"/>
          <w:szCs w:val="18"/>
          <w:shd w:val="clear" w:color="auto" w:fill="FFFFFF"/>
        </w:rPr>
        <w:t>, las importaciones de bienes excluyen las importaciones brutas de insumos para la maquila bajo el régimen de zona franca, las cuales se registran de manera neta en la cuenta de servicio de manufactura para la transformación de bienes.</w:t>
      </w:r>
    </w:p>
  </w:footnote>
  <w:footnote w:id="3">
    <w:p w:rsidR="002C10A6" w:rsidRPr="002C10A6" w:rsidRDefault="002C10A6">
      <w:pPr>
        <w:pStyle w:val="Textonotapie"/>
        <w:rPr>
          <w:lang w:val="es-MX"/>
        </w:rPr>
      </w:pPr>
      <w:r>
        <w:rPr>
          <w:rStyle w:val="Refdenotaalpie"/>
        </w:rPr>
        <w:footnoteRef/>
      </w:r>
      <w:r>
        <w:t xml:space="preserve"> </w:t>
      </w:r>
      <w:r>
        <w:rPr>
          <w:rFonts w:ascii="Futura Lt BT" w:hAnsi="Futura Lt BT" w:cs="Segoe UI"/>
          <w:color w:val="51545D"/>
          <w:shd w:val="clear" w:color="auto" w:fill="FFFFFF"/>
        </w:rPr>
        <w:t>L</w:t>
      </w:r>
      <w:r w:rsidRPr="00A85CB3">
        <w:rPr>
          <w:rFonts w:ascii="Futura Lt BT" w:hAnsi="Futura Lt BT" w:cs="Segoe UI"/>
          <w:color w:val="51545D"/>
          <w:shd w:val="clear" w:color="auto" w:fill="FFFFFF"/>
        </w:rPr>
        <w:t>a </w:t>
      </w:r>
      <w:hyperlink r:id="rId2" w:history="1">
        <w:r w:rsidRPr="00A85CB3">
          <w:rPr>
            <w:rFonts w:ascii="Futura Lt BT" w:hAnsi="Futura Lt BT" w:cs="Segoe UI"/>
            <w:color w:val="51545D"/>
            <w:shd w:val="clear" w:color="auto" w:fill="FFFFFF"/>
          </w:rPr>
          <w:t>cuenta de capital</w:t>
        </w:r>
      </w:hyperlink>
      <w:r w:rsidRPr="00A85CB3">
        <w:rPr>
          <w:rFonts w:ascii="Futura Lt BT" w:hAnsi="Futura Lt BT" w:cs="Segoe UI"/>
          <w:color w:val="51545D"/>
          <w:shd w:val="clear" w:color="auto" w:fill="FFFFFF"/>
        </w:rPr>
        <w:t xml:space="preserve"> refleja las operaciones asociadas </w:t>
      </w:r>
      <w:r>
        <w:rPr>
          <w:rFonts w:ascii="Futura Lt BT" w:hAnsi="Futura Lt BT" w:cs="Segoe UI"/>
          <w:color w:val="51545D"/>
          <w:shd w:val="clear" w:color="auto" w:fill="FFFFFF"/>
        </w:rPr>
        <w:t xml:space="preserve">con </w:t>
      </w:r>
      <w:r w:rsidRPr="00A85CB3">
        <w:rPr>
          <w:rFonts w:ascii="Futura Lt BT" w:hAnsi="Futura Lt BT" w:cs="Segoe UI"/>
          <w:color w:val="51545D"/>
          <w:shd w:val="clear" w:color="auto" w:fill="FFFFFF"/>
        </w:rPr>
        <w:t>activos no financieros no producidos y las transferencias de capital entre residentes y no residentes. Por su parte, la cuenta financiera muestra la adquisición y disposición netas de activos y pasivos financieros por tipo de inversión: </w:t>
      </w:r>
      <w:hyperlink r:id="rId3" w:history="1">
        <w:r w:rsidRPr="00A85CB3">
          <w:rPr>
            <w:rFonts w:ascii="Futura Lt BT" w:hAnsi="Futura Lt BT" w:cs="Segoe UI"/>
            <w:color w:val="51545D"/>
            <w:shd w:val="clear" w:color="auto" w:fill="FFFFFF"/>
          </w:rPr>
          <w:t>inversión extranjera directa</w:t>
        </w:r>
      </w:hyperlink>
      <w:hyperlink r:id="rId4" w:tgtFrame="_blank" w:history="1">
        <w:r w:rsidRPr="00A85CB3">
          <w:rPr>
            <w:rFonts w:ascii="Futura Lt BT" w:hAnsi="Futura Lt BT" w:cs="Segoe UI"/>
            <w:color w:val="51545D"/>
            <w:shd w:val="clear" w:color="auto" w:fill="FFFFFF"/>
          </w:rPr>
          <w:t>;</w:t>
        </w:r>
      </w:hyperlink>
      <w:r w:rsidRPr="00A85CB3">
        <w:rPr>
          <w:rFonts w:ascii="Futura Lt BT" w:hAnsi="Futura Lt BT" w:cs="Segoe UI"/>
          <w:color w:val="51545D"/>
          <w:shd w:val="clear" w:color="auto" w:fill="FFFFFF"/>
        </w:rPr>
        <w:t> inversión de cartera; instrumentos financieros derivados; otra inversión y </w:t>
      </w:r>
      <w:hyperlink r:id="rId5" w:tgtFrame="_blank" w:history="1">
        <w:r w:rsidRPr="00A85CB3">
          <w:rPr>
            <w:rFonts w:ascii="Futura Lt BT" w:hAnsi="Futura Lt BT" w:cs="Segoe UI"/>
            <w:color w:val="51545D"/>
            <w:shd w:val="clear" w:color="auto" w:fill="FFFFFF"/>
          </w:rPr>
          <w:t>activos de reserva</w:t>
        </w:r>
      </w:hyperlink>
      <w:r>
        <w:rPr>
          <w:rFonts w:ascii="Futura Lt BT" w:hAnsi="Futura Lt BT" w:cs="Segoe UI"/>
          <w:color w:val="51545D"/>
          <w:shd w:val="clear" w:color="auto" w:fill="FFFFFF"/>
        </w:rPr>
        <w:t>.</w:t>
      </w:r>
    </w:p>
  </w:footnote>
  <w:footnote w:id="4">
    <w:p w:rsidR="002C10A6" w:rsidRPr="008C0859" w:rsidRDefault="002C10A6" w:rsidP="002C10A6">
      <w:pPr>
        <w:pStyle w:val="Textonotapie"/>
        <w:jc w:val="both"/>
        <w:rPr>
          <w:lang w:val="es-MX"/>
        </w:rPr>
      </w:pPr>
      <w:r>
        <w:rPr>
          <w:rStyle w:val="Refdenotaalpie"/>
        </w:rPr>
        <w:footnoteRef/>
      </w:r>
      <w:r>
        <w:rPr>
          <w:rFonts w:ascii="Futura Lt BT" w:hAnsi="Futura Lt BT" w:cs="Segoe UI"/>
          <w:color w:val="51545D"/>
          <w:sz w:val="18"/>
          <w:szCs w:val="18"/>
          <w:shd w:val="clear" w:color="auto" w:fill="FFFFFF"/>
        </w:rPr>
        <w:t xml:space="preserve"> Los Activos de Reservas del BCN registrados en la Balanza de Pagos no incluyen los saldos del FOGADE y variaciones cambiarias. Las RIB incluyen activos del FOGADE y otras variaciones.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B3A" w:rsidRPr="00EE444E" w:rsidRDefault="00EE444E" w:rsidP="00EE444E">
    <w:pPr>
      <w:pStyle w:val="Encabezado"/>
      <w:jc w:val="right"/>
      <w:rPr>
        <w:rFonts w:ascii="Futura Lt BT" w:hAnsi="Futura Lt BT"/>
      </w:rPr>
    </w:pPr>
    <w:r w:rsidRPr="00EE444E">
      <w:rPr>
        <w:rFonts w:ascii="Futura Lt BT" w:hAnsi="Futura Lt BT"/>
        <w:noProof/>
      </w:rPr>
      <mc:AlternateContent>
        <mc:Choice Requires="wps">
          <w:drawing>
            <wp:anchor distT="0" distB="0" distL="118745" distR="118745" simplePos="0" relativeHeight="251661312" behindDoc="1" locked="0" layoutInCell="1" allowOverlap="0" wp14:anchorId="3AC4B34A" wp14:editId="271EED8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ángulo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444E" w:rsidRPr="00EE444E" w:rsidRDefault="00EE444E" w:rsidP="00EE444E">
                          <w:pPr>
                            <w:pStyle w:val="Encabezado"/>
                            <w:jc w:val="right"/>
                            <w:rPr>
                              <w:rFonts w:ascii="Futura Lt BT" w:hAnsi="Futura Lt BT"/>
                              <w:caps/>
                              <w:color w:val="FFFFFF" w:themeColor="background1"/>
                              <w:sz w:val="20"/>
                              <w:szCs w:val="20"/>
                            </w:rPr>
                          </w:pPr>
                          <w:r w:rsidRPr="00EE444E">
                            <w:rPr>
                              <w:rFonts w:ascii="Futura Lt BT" w:hAnsi="Futura Lt BT"/>
                              <w:caps/>
                              <w:color w:val="FFFFFF" w:themeColor="background1"/>
                              <w:sz w:val="20"/>
                              <w:szCs w:val="20"/>
                            </w:rPr>
                            <w:t xml:space="preserve">Informe de </w:t>
                          </w:r>
                          <w:r w:rsidR="007F352D">
                            <w:rPr>
                              <w:rFonts w:ascii="Futura Lt BT" w:hAnsi="Futura Lt BT"/>
                              <w:caps/>
                              <w:color w:val="FFFFFF" w:themeColor="background1"/>
                              <w:sz w:val="20"/>
                              <w:szCs w:val="20"/>
                            </w:rPr>
                            <w:t>balanza de pagos</w:t>
                          </w:r>
                          <w:r w:rsidRPr="00EE444E">
                            <w:rPr>
                              <w:rFonts w:ascii="Futura Lt BT" w:hAnsi="Futura Lt BT"/>
                              <w:caps/>
                              <w:color w:val="FFFFFF" w:themeColor="background1"/>
                              <w:sz w:val="20"/>
                              <w:szCs w:val="20"/>
                            </w:rPr>
                            <w:t>, i</w:t>
                          </w:r>
                          <w:r w:rsidR="00104BB8">
                            <w:rPr>
                              <w:rFonts w:ascii="Futura Lt BT" w:hAnsi="Futura Lt BT"/>
                              <w:caps/>
                              <w:color w:val="FFFFFF" w:themeColor="background1"/>
                              <w:sz w:val="20"/>
                              <w:szCs w:val="20"/>
                            </w:rPr>
                            <w:t>I</w:t>
                          </w:r>
                          <w:r w:rsidRPr="00EE444E">
                            <w:rPr>
                              <w:rFonts w:ascii="Futura Lt BT" w:hAnsi="Futura Lt BT"/>
                              <w:caps/>
                              <w:color w:val="FFFFFF" w:themeColor="background1"/>
                              <w:sz w:val="20"/>
                              <w:szCs w:val="20"/>
                            </w:rPr>
                            <w:t xml:space="preserve"> trimestre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AC4B34A" id="Rectángulo 3" o:spid="_x0000_s1028" style="position:absolute;left:0;text-align:left;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" o:allowoverlap="f" fillcolor="#4472c4 [3204]" stroked="f" strokeweight="1pt">
              <v:textbox style="mso-fit-shape-to-text:t">
                <w:txbxContent>
                  <w:p w:rsidR="00EE444E" w:rsidRPr="00EE444E" w:rsidRDefault="00EE444E" w:rsidP="00EE444E">
                    <w:pPr>
                      <w:pStyle w:val="Encabezado"/>
                      <w:jc w:val="right"/>
                      <w:rPr>
                        <w:rFonts w:ascii="Futura Lt BT" w:hAnsi="Futura Lt BT"/>
                        <w:caps/>
                        <w:color w:val="FFFFFF" w:themeColor="background1"/>
                        <w:sz w:val="20"/>
                        <w:szCs w:val="20"/>
                      </w:rPr>
                    </w:pPr>
                    <w:r w:rsidRPr="00EE444E">
                      <w:rPr>
                        <w:rFonts w:ascii="Futura Lt BT" w:hAnsi="Futura Lt BT"/>
                        <w:caps/>
                        <w:color w:val="FFFFFF" w:themeColor="background1"/>
                        <w:sz w:val="20"/>
                        <w:szCs w:val="20"/>
                      </w:rPr>
                      <w:t xml:space="preserve">Informe de </w:t>
                    </w:r>
                    <w:r w:rsidR="007F352D">
                      <w:rPr>
                        <w:rFonts w:ascii="Futura Lt BT" w:hAnsi="Futura Lt BT"/>
                        <w:caps/>
                        <w:color w:val="FFFFFF" w:themeColor="background1"/>
                        <w:sz w:val="20"/>
                        <w:szCs w:val="20"/>
                      </w:rPr>
                      <w:t>balanza de pagos</w:t>
                    </w:r>
                    <w:r w:rsidRPr="00EE444E">
                      <w:rPr>
                        <w:rFonts w:ascii="Futura Lt BT" w:hAnsi="Futura Lt BT"/>
                        <w:caps/>
                        <w:color w:val="FFFFFF" w:themeColor="background1"/>
                        <w:sz w:val="20"/>
                        <w:szCs w:val="20"/>
                      </w:rPr>
                      <w:t>, i</w:t>
                    </w:r>
                    <w:r w:rsidR="00104BB8">
                      <w:rPr>
                        <w:rFonts w:ascii="Futura Lt BT" w:hAnsi="Futura Lt BT"/>
                        <w:caps/>
                        <w:color w:val="FFFFFF" w:themeColor="background1"/>
                        <w:sz w:val="20"/>
                        <w:szCs w:val="20"/>
                      </w:rPr>
                      <w:t>I</w:t>
                    </w:r>
                    <w:r w:rsidRPr="00EE444E">
                      <w:rPr>
                        <w:rFonts w:ascii="Futura Lt BT" w:hAnsi="Futura Lt BT"/>
                        <w:caps/>
                        <w:color w:val="FFFFFF" w:themeColor="background1"/>
                        <w:sz w:val="20"/>
                        <w:szCs w:val="20"/>
                      </w:rPr>
                      <w:t xml:space="preserve"> trimestre 2023</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C7A57"/>
    <w:multiLevelType w:val="hybridMultilevel"/>
    <w:tmpl w:val="80F6BA28"/>
    <w:lvl w:ilvl="0" w:tplc="12D26724">
      <w:start w:val="1"/>
      <w:numFmt w:val="upperRoman"/>
      <w:lvlText w:val="%1."/>
      <w:lvlJc w:val="left"/>
      <w:pPr>
        <w:ind w:left="862" w:hanging="72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195E6590"/>
    <w:multiLevelType w:val="multilevel"/>
    <w:tmpl w:val="02A0F2F8"/>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BC918EC"/>
    <w:multiLevelType w:val="hybridMultilevel"/>
    <w:tmpl w:val="80F6BA28"/>
    <w:lvl w:ilvl="0" w:tplc="12D26724">
      <w:start w:val="1"/>
      <w:numFmt w:val="upperRoman"/>
      <w:lvlText w:val="%1."/>
      <w:lvlJc w:val="left"/>
      <w:pPr>
        <w:ind w:left="862" w:hanging="72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1DBE2640"/>
    <w:multiLevelType w:val="multilevel"/>
    <w:tmpl w:val="8C425C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6750CE"/>
    <w:multiLevelType w:val="hybridMultilevel"/>
    <w:tmpl w:val="80F6BA28"/>
    <w:lvl w:ilvl="0" w:tplc="12D26724">
      <w:start w:val="1"/>
      <w:numFmt w:val="upperRoman"/>
      <w:lvlText w:val="%1."/>
      <w:lvlJc w:val="left"/>
      <w:pPr>
        <w:ind w:left="862" w:hanging="72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3B600320"/>
    <w:multiLevelType w:val="multilevel"/>
    <w:tmpl w:val="215E5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08A0AB4"/>
    <w:multiLevelType w:val="hybridMultilevel"/>
    <w:tmpl w:val="80F6BA28"/>
    <w:lvl w:ilvl="0" w:tplc="12D26724">
      <w:start w:val="1"/>
      <w:numFmt w:val="upperRoman"/>
      <w:lvlText w:val="%1."/>
      <w:lvlJc w:val="left"/>
      <w:pPr>
        <w:ind w:left="862" w:hanging="72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20"/>
    <w:rsid w:val="00000223"/>
    <w:rsid w:val="00007036"/>
    <w:rsid w:val="0000795D"/>
    <w:rsid w:val="00012A6C"/>
    <w:rsid w:val="000200A3"/>
    <w:rsid w:val="00022E6E"/>
    <w:rsid w:val="00027B32"/>
    <w:rsid w:val="00041CD4"/>
    <w:rsid w:val="00047BB0"/>
    <w:rsid w:val="00054320"/>
    <w:rsid w:val="00055031"/>
    <w:rsid w:val="00062084"/>
    <w:rsid w:val="000636F0"/>
    <w:rsid w:val="00065A75"/>
    <w:rsid w:val="000736E6"/>
    <w:rsid w:val="00076082"/>
    <w:rsid w:val="00077E14"/>
    <w:rsid w:val="00087272"/>
    <w:rsid w:val="000A0619"/>
    <w:rsid w:val="000A2F90"/>
    <w:rsid w:val="000A6F1D"/>
    <w:rsid w:val="000A7519"/>
    <w:rsid w:val="000C5235"/>
    <w:rsid w:val="000E055D"/>
    <w:rsid w:val="000E0F6C"/>
    <w:rsid w:val="000E1986"/>
    <w:rsid w:val="000E32C9"/>
    <w:rsid w:val="000F6867"/>
    <w:rsid w:val="00101559"/>
    <w:rsid w:val="00104BB8"/>
    <w:rsid w:val="001061F5"/>
    <w:rsid w:val="00107074"/>
    <w:rsid w:val="00107CC6"/>
    <w:rsid w:val="00121DF0"/>
    <w:rsid w:val="0012284C"/>
    <w:rsid w:val="00125AF2"/>
    <w:rsid w:val="00125D1B"/>
    <w:rsid w:val="00146823"/>
    <w:rsid w:val="00152CB7"/>
    <w:rsid w:val="00176108"/>
    <w:rsid w:val="00177001"/>
    <w:rsid w:val="00180B32"/>
    <w:rsid w:val="00183360"/>
    <w:rsid w:val="00192F52"/>
    <w:rsid w:val="001A2984"/>
    <w:rsid w:val="001A5EC9"/>
    <w:rsid w:val="001B199D"/>
    <w:rsid w:val="001B3CD8"/>
    <w:rsid w:val="001B43E0"/>
    <w:rsid w:val="001C0200"/>
    <w:rsid w:val="001C2DC0"/>
    <w:rsid w:val="001D22DA"/>
    <w:rsid w:val="001D4217"/>
    <w:rsid w:val="001F2CE3"/>
    <w:rsid w:val="00202520"/>
    <w:rsid w:val="00212E07"/>
    <w:rsid w:val="002718F7"/>
    <w:rsid w:val="002967CD"/>
    <w:rsid w:val="00297983"/>
    <w:rsid w:val="002A4044"/>
    <w:rsid w:val="002A4E67"/>
    <w:rsid w:val="002A6747"/>
    <w:rsid w:val="002B2604"/>
    <w:rsid w:val="002B3F29"/>
    <w:rsid w:val="002B77D4"/>
    <w:rsid w:val="002C0399"/>
    <w:rsid w:val="002C10A6"/>
    <w:rsid w:val="002C2BB1"/>
    <w:rsid w:val="002C537A"/>
    <w:rsid w:val="002C6677"/>
    <w:rsid w:val="002C695D"/>
    <w:rsid w:val="002C7630"/>
    <w:rsid w:val="002D0B5C"/>
    <w:rsid w:val="002D1267"/>
    <w:rsid w:val="002D1A9A"/>
    <w:rsid w:val="002D6429"/>
    <w:rsid w:val="002D7106"/>
    <w:rsid w:val="002E5BF6"/>
    <w:rsid w:val="00310C46"/>
    <w:rsid w:val="00324FD2"/>
    <w:rsid w:val="0032743A"/>
    <w:rsid w:val="00331348"/>
    <w:rsid w:val="003440D3"/>
    <w:rsid w:val="00345470"/>
    <w:rsid w:val="003469EC"/>
    <w:rsid w:val="0035079B"/>
    <w:rsid w:val="00351D97"/>
    <w:rsid w:val="00352E94"/>
    <w:rsid w:val="00360951"/>
    <w:rsid w:val="00390A61"/>
    <w:rsid w:val="00394D3C"/>
    <w:rsid w:val="003A5F26"/>
    <w:rsid w:val="003A6912"/>
    <w:rsid w:val="003A7C99"/>
    <w:rsid w:val="003D45CC"/>
    <w:rsid w:val="003D4B24"/>
    <w:rsid w:val="003D4CDE"/>
    <w:rsid w:val="003E031E"/>
    <w:rsid w:val="003E7022"/>
    <w:rsid w:val="003F3ABA"/>
    <w:rsid w:val="003F75B2"/>
    <w:rsid w:val="00401415"/>
    <w:rsid w:val="00403216"/>
    <w:rsid w:val="004032BA"/>
    <w:rsid w:val="0042513B"/>
    <w:rsid w:val="00426C71"/>
    <w:rsid w:val="00434BDE"/>
    <w:rsid w:val="00435398"/>
    <w:rsid w:val="00437DD8"/>
    <w:rsid w:val="00443A9A"/>
    <w:rsid w:val="004456CE"/>
    <w:rsid w:val="004463D7"/>
    <w:rsid w:val="00473332"/>
    <w:rsid w:val="00476553"/>
    <w:rsid w:val="00483AB4"/>
    <w:rsid w:val="00486442"/>
    <w:rsid w:val="004908B3"/>
    <w:rsid w:val="004A07C0"/>
    <w:rsid w:val="004A73BD"/>
    <w:rsid w:val="004B03A7"/>
    <w:rsid w:val="004B26D4"/>
    <w:rsid w:val="004B48C4"/>
    <w:rsid w:val="004C005D"/>
    <w:rsid w:val="004C6ECE"/>
    <w:rsid w:val="004E0FE9"/>
    <w:rsid w:val="004E2633"/>
    <w:rsid w:val="004E4571"/>
    <w:rsid w:val="004E5F61"/>
    <w:rsid w:val="004F1A6A"/>
    <w:rsid w:val="004F43B7"/>
    <w:rsid w:val="004F688E"/>
    <w:rsid w:val="004F7758"/>
    <w:rsid w:val="00500454"/>
    <w:rsid w:val="00504773"/>
    <w:rsid w:val="005103A4"/>
    <w:rsid w:val="00513FAF"/>
    <w:rsid w:val="0052208F"/>
    <w:rsid w:val="00526784"/>
    <w:rsid w:val="00532145"/>
    <w:rsid w:val="00533429"/>
    <w:rsid w:val="00565EE6"/>
    <w:rsid w:val="0057516A"/>
    <w:rsid w:val="005801C2"/>
    <w:rsid w:val="00583D72"/>
    <w:rsid w:val="0059423B"/>
    <w:rsid w:val="005A47F8"/>
    <w:rsid w:val="005A5427"/>
    <w:rsid w:val="005A7DD4"/>
    <w:rsid w:val="005B074A"/>
    <w:rsid w:val="005B2094"/>
    <w:rsid w:val="005B391A"/>
    <w:rsid w:val="005B573C"/>
    <w:rsid w:val="005C4CEA"/>
    <w:rsid w:val="005C7787"/>
    <w:rsid w:val="005D101A"/>
    <w:rsid w:val="005D24A4"/>
    <w:rsid w:val="005D2AB0"/>
    <w:rsid w:val="005F5BF8"/>
    <w:rsid w:val="00602952"/>
    <w:rsid w:val="00602F27"/>
    <w:rsid w:val="00606F34"/>
    <w:rsid w:val="00607BA1"/>
    <w:rsid w:val="006225B3"/>
    <w:rsid w:val="00625C67"/>
    <w:rsid w:val="00634006"/>
    <w:rsid w:val="00650A29"/>
    <w:rsid w:val="006519F9"/>
    <w:rsid w:val="0065487C"/>
    <w:rsid w:val="0066151D"/>
    <w:rsid w:val="00661DE8"/>
    <w:rsid w:val="00675403"/>
    <w:rsid w:val="00683639"/>
    <w:rsid w:val="006A17B4"/>
    <w:rsid w:val="006A3FEF"/>
    <w:rsid w:val="006B2AC5"/>
    <w:rsid w:val="006C14B7"/>
    <w:rsid w:val="006C3960"/>
    <w:rsid w:val="006D31A3"/>
    <w:rsid w:val="006E60B3"/>
    <w:rsid w:val="006F1816"/>
    <w:rsid w:val="006F7296"/>
    <w:rsid w:val="006F7C18"/>
    <w:rsid w:val="00704DCF"/>
    <w:rsid w:val="0070746B"/>
    <w:rsid w:val="0071254A"/>
    <w:rsid w:val="007326C8"/>
    <w:rsid w:val="00737E32"/>
    <w:rsid w:val="0075213D"/>
    <w:rsid w:val="00762D02"/>
    <w:rsid w:val="007707A2"/>
    <w:rsid w:val="00771086"/>
    <w:rsid w:val="00773EAF"/>
    <w:rsid w:val="007815A0"/>
    <w:rsid w:val="00784485"/>
    <w:rsid w:val="00786A08"/>
    <w:rsid w:val="007941AC"/>
    <w:rsid w:val="00797598"/>
    <w:rsid w:val="007A1B33"/>
    <w:rsid w:val="007A7D33"/>
    <w:rsid w:val="007B529B"/>
    <w:rsid w:val="007B69DA"/>
    <w:rsid w:val="007C266C"/>
    <w:rsid w:val="007D1884"/>
    <w:rsid w:val="007D5436"/>
    <w:rsid w:val="007D5E4E"/>
    <w:rsid w:val="007E1D0B"/>
    <w:rsid w:val="007E5CFA"/>
    <w:rsid w:val="007F0670"/>
    <w:rsid w:val="007F352D"/>
    <w:rsid w:val="007F6387"/>
    <w:rsid w:val="00803463"/>
    <w:rsid w:val="008076DB"/>
    <w:rsid w:val="008134F6"/>
    <w:rsid w:val="00813FC5"/>
    <w:rsid w:val="0083106D"/>
    <w:rsid w:val="00831BA1"/>
    <w:rsid w:val="00834829"/>
    <w:rsid w:val="00844732"/>
    <w:rsid w:val="00854A0E"/>
    <w:rsid w:val="00861854"/>
    <w:rsid w:val="00861F68"/>
    <w:rsid w:val="00866833"/>
    <w:rsid w:val="00870624"/>
    <w:rsid w:val="00875317"/>
    <w:rsid w:val="00876708"/>
    <w:rsid w:val="00876859"/>
    <w:rsid w:val="00881E41"/>
    <w:rsid w:val="00886C11"/>
    <w:rsid w:val="00890607"/>
    <w:rsid w:val="008930AC"/>
    <w:rsid w:val="00895751"/>
    <w:rsid w:val="00896686"/>
    <w:rsid w:val="008A176D"/>
    <w:rsid w:val="008A7304"/>
    <w:rsid w:val="008A74AE"/>
    <w:rsid w:val="008B27B7"/>
    <w:rsid w:val="008B6367"/>
    <w:rsid w:val="008D2AD7"/>
    <w:rsid w:val="008D67EE"/>
    <w:rsid w:val="008E2A7B"/>
    <w:rsid w:val="008E467E"/>
    <w:rsid w:val="008E5315"/>
    <w:rsid w:val="008F2052"/>
    <w:rsid w:val="008F2F63"/>
    <w:rsid w:val="00906339"/>
    <w:rsid w:val="00907D6A"/>
    <w:rsid w:val="00910857"/>
    <w:rsid w:val="00913250"/>
    <w:rsid w:val="00914EEB"/>
    <w:rsid w:val="00915142"/>
    <w:rsid w:val="00915317"/>
    <w:rsid w:val="00915F52"/>
    <w:rsid w:val="0091689E"/>
    <w:rsid w:val="009205EB"/>
    <w:rsid w:val="009209A4"/>
    <w:rsid w:val="009233A0"/>
    <w:rsid w:val="0095052E"/>
    <w:rsid w:val="00967D19"/>
    <w:rsid w:val="00972AB7"/>
    <w:rsid w:val="00973109"/>
    <w:rsid w:val="00981A5A"/>
    <w:rsid w:val="009875D1"/>
    <w:rsid w:val="00991D4D"/>
    <w:rsid w:val="00997316"/>
    <w:rsid w:val="00997E16"/>
    <w:rsid w:val="009B1CA2"/>
    <w:rsid w:val="009C534F"/>
    <w:rsid w:val="009D2A7C"/>
    <w:rsid w:val="009E2E4B"/>
    <w:rsid w:val="009E2E64"/>
    <w:rsid w:val="009E6A73"/>
    <w:rsid w:val="009E7CCD"/>
    <w:rsid w:val="009F44C8"/>
    <w:rsid w:val="009F7749"/>
    <w:rsid w:val="00A11D3D"/>
    <w:rsid w:val="00A14A1F"/>
    <w:rsid w:val="00A30EEF"/>
    <w:rsid w:val="00A320C9"/>
    <w:rsid w:val="00A329E0"/>
    <w:rsid w:val="00A34759"/>
    <w:rsid w:val="00A3481D"/>
    <w:rsid w:val="00A47A1A"/>
    <w:rsid w:val="00A51412"/>
    <w:rsid w:val="00A64590"/>
    <w:rsid w:val="00A702DF"/>
    <w:rsid w:val="00A75CB4"/>
    <w:rsid w:val="00A77910"/>
    <w:rsid w:val="00A77DE3"/>
    <w:rsid w:val="00A8106F"/>
    <w:rsid w:val="00A824FD"/>
    <w:rsid w:val="00A85A61"/>
    <w:rsid w:val="00A875D0"/>
    <w:rsid w:val="00AA0913"/>
    <w:rsid w:val="00AA2620"/>
    <w:rsid w:val="00AB33D7"/>
    <w:rsid w:val="00AB4336"/>
    <w:rsid w:val="00AD00EB"/>
    <w:rsid w:val="00AD6D6B"/>
    <w:rsid w:val="00AE25A3"/>
    <w:rsid w:val="00AE569F"/>
    <w:rsid w:val="00AE5D1E"/>
    <w:rsid w:val="00AF23E6"/>
    <w:rsid w:val="00B062D4"/>
    <w:rsid w:val="00B130E0"/>
    <w:rsid w:val="00B1315C"/>
    <w:rsid w:val="00B17336"/>
    <w:rsid w:val="00B212AF"/>
    <w:rsid w:val="00B23264"/>
    <w:rsid w:val="00B3112A"/>
    <w:rsid w:val="00B32777"/>
    <w:rsid w:val="00B45E3D"/>
    <w:rsid w:val="00B5007C"/>
    <w:rsid w:val="00B53813"/>
    <w:rsid w:val="00B567C7"/>
    <w:rsid w:val="00B56FCA"/>
    <w:rsid w:val="00B61126"/>
    <w:rsid w:val="00B61625"/>
    <w:rsid w:val="00B63311"/>
    <w:rsid w:val="00B63D95"/>
    <w:rsid w:val="00B722CC"/>
    <w:rsid w:val="00B84F56"/>
    <w:rsid w:val="00B867B3"/>
    <w:rsid w:val="00B87340"/>
    <w:rsid w:val="00BA0516"/>
    <w:rsid w:val="00BA1A8C"/>
    <w:rsid w:val="00BA4EE9"/>
    <w:rsid w:val="00BA6147"/>
    <w:rsid w:val="00BB0AD3"/>
    <w:rsid w:val="00BD0DEE"/>
    <w:rsid w:val="00BE43E7"/>
    <w:rsid w:val="00BE69DE"/>
    <w:rsid w:val="00C02A35"/>
    <w:rsid w:val="00C161F7"/>
    <w:rsid w:val="00C272ED"/>
    <w:rsid w:val="00C3252C"/>
    <w:rsid w:val="00C43B37"/>
    <w:rsid w:val="00C45E53"/>
    <w:rsid w:val="00C70B0E"/>
    <w:rsid w:val="00C7226F"/>
    <w:rsid w:val="00C94B15"/>
    <w:rsid w:val="00C96E09"/>
    <w:rsid w:val="00CA02A8"/>
    <w:rsid w:val="00CA2126"/>
    <w:rsid w:val="00CA4142"/>
    <w:rsid w:val="00CA4FCD"/>
    <w:rsid w:val="00CA7029"/>
    <w:rsid w:val="00CB1FAD"/>
    <w:rsid w:val="00CB278B"/>
    <w:rsid w:val="00CB69BA"/>
    <w:rsid w:val="00CC02AA"/>
    <w:rsid w:val="00CC299B"/>
    <w:rsid w:val="00CC585F"/>
    <w:rsid w:val="00CE546F"/>
    <w:rsid w:val="00CE5E6C"/>
    <w:rsid w:val="00D02B3A"/>
    <w:rsid w:val="00D04412"/>
    <w:rsid w:val="00D070DD"/>
    <w:rsid w:val="00D13456"/>
    <w:rsid w:val="00D170FC"/>
    <w:rsid w:val="00D31DFD"/>
    <w:rsid w:val="00D34E9F"/>
    <w:rsid w:val="00D431F1"/>
    <w:rsid w:val="00D4400E"/>
    <w:rsid w:val="00D44B29"/>
    <w:rsid w:val="00D52353"/>
    <w:rsid w:val="00D52C07"/>
    <w:rsid w:val="00D54301"/>
    <w:rsid w:val="00D56766"/>
    <w:rsid w:val="00D57470"/>
    <w:rsid w:val="00D64F0D"/>
    <w:rsid w:val="00D70CC5"/>
    <w:rsid w:val="00D733F8"/>
    <w:rsid w:val="00D86993"/>
    <w:rsid w:val="00D97116"/>
    <w:rsid w:val="00DB36DE"/>
    <w:rsid w:val="00DB4F45"/>
    <w:rsid w:val="00DB6753"/>
    <w:rsid w:val="00DB6E12"/>
    <w:rsid w:val="00DC0C58"/>
    <w:rsid w:val="00E06A24"/>
    <w:rsid w:val="00E202CB"/>
    <w:rsid w:val="00E22F00"/>
    <w:rsid w:val="00E232AD"/>
    <w:rsid w:val="00E3201B"/>
    <w:rsid w:val="00E40DC7"/>
    <w:rsid w:val="00E41461"/>
    <w:rsid w:val="00E42257"/>
    <w:rsid w:val="00E51B74"/>
    <w:rsid w:val="00E53A38"/>
    <w:rsid w:val="00E67C52"/>
    <w:rsid w:val="00E703F2"/>
    <w:rsid w:val="00E82F86"/>
    <w:rsid w:val="00EA11CB"/>
    <w:rsid w:val="00EB0131"/>
    <w:rsid w:val="00EC027B"/>
    <w:rsid w:val="00EC64AF"/>
    <w:rsid w:val="00EC7770"/>
    <w:rsid w:val="00EC7988"/>
    <w:rsid w:val="00ED1FF0"/>
    <w:rsid w:val="00EE1CE7"/>
    <w:rsid w:val="00EE2F2E"/>
    <w:rsid w:val="00EE444E"/>
    <w:rsid w:val="00F1409A"/>
    <w:rsid w:val="00F206EE"/>
    <w:rsid w:val="00F2512B"/>
    <w:rsid w:val="00F27776"/>
    <w:rsid w:val="00F36EE3"/>
    <w:rsid w:val="00F425F8"/>
    <w:rsid w:val="00F45B28"/>
    <w:rsid w:val="00F500DB"/>
    <w:rsid w:val="00F528E7"/>
    <w:rsid w:val="00F6744B"/>
    <w:rsid w:val="00F70A4A"/>
    <w:rsid w:val="00F73AE1"/>
    <w:rsid w:val="00FA07A5"/>
    <w:rsid w:val="00FA4FC0"/>
    <w:rsid w:val="00FB76C9"/>
    <w:rsid w:val="00FB7CDB"/>
    <w:rsid w:val="00FC18CB"/>
    <w:rsid w:val="00FC2F3E"/>
    <w:rsid w:val="00FC7CEA"/>
    <w:rsid w:val="00FD1E8E"/>
    <w:rsid w:val="00FD2698"/>
    <w:rsid w:val="00FD4006"/>
    <w:rsid w:val="00FD7F96"/>
    <w:rsid w:val="00FE7956"/>
    <w:rsid w:val="00FF7B56"/>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8ABC0"/>
  <w15:chartTrackingRefBased/>
  <w15:docId w15:val="{7A69A1B9-A9E8-4EFE-9CF0-AB89D3B4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67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ar"/>
    <w:uiPriority w:val="9"/>
    <w:unhideWhenUsed/>
    <w:qFormat/>
    <w:rsid w:val="00054320"/>
    <w:pPr>
      <w:keepNext/>
      <w:spacing w:after="0" w:line="480" w:lineRule="auto"/>
      <w:ind w:left="-4819"/>
      <w:jc w:val="center"/>
      <w:outlineLvl w:val="5"/>
    </w:pPr>
    <w:rPr>
      <w:rFonts w:ascii="Futura Md BT" w:eastAsia="Times New Roman" w:hAnsi="Futura Md BT" w:cs="Times New Roman"/>
      <w:b/>
      <w:color w:val="2F5496" w:themeColor="accent1" w:themeShade="BF"/>
      <w:sz w:val="48"/>
      <w:szCs w:val="4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rsid w:val="00054320"/>
    <w:rPr>
      <w:rFonts w:ascii="Futura Md BT" w:eastAsia="Times New Roman" w:hAnsi="Futura Md BT" w:cs="Times New Roman"/>
      <w:b/>
      <w:color w:val="2F5496" w:themeColor="accent1" w:themeShade="BF"/>
      <w:sz w:val="48"/>
      <w:szCs w:val="48"/>
      <w:lang w:val="es-MX" w:eastAsia="es-ES"/>
    </w:rPr>
  </w:style>
  <w:style w:type="paragraph" w:styleId="NormalWeb">
    <w:name w:val="Normal (Web)"/>
    <w:basedOn w:val="Normal"/>
    <w:uiPriority w:val="99"/>
    <w:unhideWhenUsed/>
    <w:rsid w:val="002A6747"/>
    <w:pPr>
      <w:spacing w:before="100" w:beforeAutospacing="1" w:after="100" w:afterAutospacing="1" w:line="240" w:lineRule="auto"/>
    </w:pPr>
    <w:rPr>
      <w:rFonts w:ascii="Times New Roman" w:eastAsia="Times New Roman" w:hAnsi="Times New Roman" w:cs="Times New Roman"/>
      <w:sz w:val="24"/>
      <w:szCs w:val="24"/>
      <w:lang w:eastAsia="es-NI"/>
    </w:rPr>
  </w:style>
  <w:style w:type="paragraph" w:styleId="Piedepgina">
    <w:name w:val="footer"/>
    <w:basedOn w:val="Normal"/>
    <w:link w:val="PiedepginaCar"/>
    <w:uiPriority w:val="99"/>
    <w:unhideWhenUsed/>
    <w:rsid w:val="002A6747"/>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A6747"/>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2A674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A6747"/>
    <w:pPr>
      <w:outlineLvl w:val="9"/>
    </w:pPr>
    <w:rPr>
      <w:lang w:eastAsia="es-NI"/>
    </w:rPr>
  </w:style>
  <w:style w:type="paragraph" w:styleId="TDC1">
    <w:name w:val="toc 1"/>
    <w:basedOn w:val="Normal"/>
    <w:next w:val="Normal"/>
    <w:autoRedefine/>
    <w:uiPriority w:val="39"/>
    <w:unhideWhenUsed/>
    <w:rsid w:val="002A6747"/>
    <w:pPr>
      <w:spacing w:after="10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2A6747"/>
    <w:rPr>
      <w:color w:val="0563C1" w:themeColor="hyperlink"/>
      <w:u w:val="single"/>
    </w:rPr>
  </w:style>
  <w:style w:type="paragraph" w:customStyle="1" w:styleId="Estilo2">
    <w:name w:val="Estilo2"/>
    <w:basedOn w:val="Ttulo1"/>
    <w:link w:val="Estilo2Car"/>
    <w:qFormat/>
    <w:rsid w:val="00125AF2"/>
    <w:pPr>
      <w:keepLines w:val="0"/>
      <w:spacing w:before="0" w:line="240" w:lineRule="auto"/>
      <w:jc w:val="center"/>
    </w:pPr>
    <w:rPr>
      <w:rFonts w:ascii="Futura Md BT" w:eastAsia="MS Mincho" w:hAnsi="Futura Md BT" w:cs="Arial"/>
      <w:b/>
      <w:bCs/>
      <w:color w:val="004B85"/>
      <w:kern w:val="32"/>
      <w:sz w:val="28"/>
      <w:szCs w:val="28"/>
      <w:lang w:val="es-ES" w:eastAsia="es-ES"/>
    </w:rPr>
  </w:style>
  <w:style w:type="character" w:customStyle="1" w:styleId="Estilo2Car">
    <w:name w:val="Estilo2 Car"/>
    <w:basedOn w:val="Fuentedeprrafopredeter"/>
    <w:link w:val="Estilo2"/>
    <w:rsid w:val="00125AF2"/>
    <w:rPr>
      <w:rFonts w:ascii="Futura Md BT" w:eastAsia="MS Mincho" w:hAnsi="Futura Md BT" w:cs="Arial"/>
      <w:b/>
      <w:bCs/>
      <w:color w:val="004B85"/>
      <w:kern w:val="32"/>
      <w:sz w:val="28"/>
      <w:szCs w:val="28"/>
      <w:lang w:val="es-ES" w:eastAsia="es-ES"/>
    </w:rPr>
  </w:style>
  <w:style w:type="character" w:styleId="Textoennegrita">
    <w:name w:val="Strong"/>
    <w:basedOn w:val="Fuentedeprrafopredeter"/>
    <w:uiPriority w:val="22"/>
    <w:qFormat/>
    <w:rsid w:val="00125AF2"/>
    <w:rPr>
      <w:b/>
      <w:bCs/>
    </w:rPr>
  </w:style>
  <w:style w:type="paragraph" w:styleId="Textonotapie">
    <w:name w:val="footnote text"/>
    <w:aliases w:val="single space,footnote text,fn,Footnote Text Char Car Car Car Car Car Car Car Car Car Car Car Car Car Car Car Car Car Car Car Car Car Car Car Car Car Car Car Car Car Car Car Car Car Car Car Car Car Car Car Car,Footnote Text Char,Char"/>
    <w:basedOn w:val="Normal"/>
    <w:link w:val="TextonotapieCar"/>
    <w:uiPriority w:val="99"/>
    <w:unhideWhenUsed/>
    <w:qFormat/>
    <w:rsid w:val="0091514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single space Car,footnote text Car,fn Car,Footnote Text Char Car Car Car Car Car Car Car Car Car Car Car Car Car Car Car Car Car Car Car Car Car Car Car Car Car Car Car Car Car Car Car Car Car Car Car Car Car Car Car Car Car,Char Car"/>
    <w:basedOn w:val="Fuentedeprrafopredeter"/>
    <w:link w:val="Textonotapie"/>
    <w:uiPriority w:val="99"/>
    <w:qFormat/>
    <w:rsid w:val="0091514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qFormat/>
    <w:rsid w:val="00915142"/>
    <w:rPr>
      <w:vertAlign w:val="superscript"/>
    </w:rPr>
  </w:style>
  <w:style w:type="table" w:styleId="Tablaconcuadrcula">
    <w:name w:val="Table Grid"/>
    <w:basedOn w:val="Tablanormal"/>
    <w:uiPriority w:val="39"/>
    <w:rsid w:val="00915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02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2B3A"/>
  </w:style>
  <w:style w:type="character" w:styleId="Refdecomentario">
    <w:name w:val="annotation reference"/>
    <w:basedOn w:val="Fuentedeprrafopredeter"/>
    <w:uiPriority w:val="99"/>
    <w:semiHidden/>
    <w:unhideWhenUsed/>
    <w:rsid w:val="00A34759"/>
    <w:rPr>
      <w:sz w:val="16"/>
      <w:szCs w:val="16"/>
    </w:rPr>
  </w:style>
  <w:style w:type="paragraph" w:styleId="Textocomentario">
    <w:name w:val="annotation text"/>
    <w:basedOn w:val="Normal"/>
    <w:link w:val="TextocomentarioCar"/>
    <w:uiPriority w:val="99"/>
    <w:semiHidden/>
    <w:unhideWhenUsed/>
    <w:rsid w:val="00A347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4759"/>
    <w:rPr>
      <w:sz w:val="20"/>
      <w:szCs w:val="20"/>
    </w:rPr>
  </w:style>
  <w:style w:type="paragraph" w:styleId="Asuntodelcomentario">
    <w:name w:val="annotation subject"/>
    <w:basedOn w:val="Textocomentario"/>
    <w:next w:val="Textocomentario"/>
    <w:link w:val="AsuntodelcomentarioCar"/>
    <w:uiPriority w:val="99"/>
    <w:semiHidden/>
    <w:unhideWhenUsed/>
    <w:rsid w:val="00A34759"/>
    <w:rPr>
      <w:b/>
      <w:bCs/>
    </w:rPr>
  </w:style>
  <w:style w:type="character" w:customStyle="1" w:styleId="AsuntodelcomentarioCar">
    <w:name w:val="Asunto del comentario Car"/>
    <w:basedOn w:val="TextocomentarioCar"/>
    <w:link w:val="Asuntodelcomentario"/>
    <w:uiPriority w:val="99"/>
    <w:semiHidden/>
    <w:rsid w:val="00A34759"/>
    <w:rPr>
      <w:b/>
      <w:bCs/>
      <w:sz w:val="20"/>
      <w:szCs w:val="20"/>
    </w:rPr>
  </w:style>
  <w:style w:type="paragraph" w:styleId="Textodeglobo">
    <w:name w:val="Balloon Text"/>
    <w:basedOn w:val="Normal"/>
    <w:link w:val="TextodegloboCar"/>
    <w:uiPriority w:val="99"/>
    <w:semiHidden/>
    <w:unhideWhenUsed/>
    <w:rsid w:val="00513F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3FAF"/>
    <w:rPr>
      <w:rFonts w:ascii="Segoe UI" w:hAnsi="Segoe UI" w:cs="Segoe UI"/>
      <w:sz w:val="18"/>
      <w:szCs w:val="18"/>
    </w:rPr>
  </w:style>
  <w:style w:type="paragraph" w:styleId="Prrafodelista">
    <w:name w:val="List Paragraph"/>
    <w:basedOn w:val="Normal"/>
    <w:uiPriority w:val="34"/>
    <w:qFormat/>
    <w:rsid w:val="00BD0DEE"/>
    <w:pPr>
      <w:ind w:left="720"/>
      <w:contextualSpacing/>
    </w:pPr>
  </w:style>
  <w:style w:type="paragraph" w:styleId="Textonotaalfinal">
    <w:name w:val="endnote text"/>
    <w:basedOn w:val="Normal"/>
    <w:link w:val="TextonotaalfinalCar"/>
    <w:uiPriority w:val="99"/>
    <w:semiHidden/>
    <w:unhideWhenUsed/>
    <w:rsid w:val="007F352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F352D"/>
    <w:rPr>
      <w:sz w:val="20"/>
      <w:szCs w:val="20"/>
    </w:rPr>
  </w:style>
  <w:style w:type="character" w:styleId="Refdenotaalfinal">
    <w:name w:val="endnote reference"/>
    <w:basedOn w:val="Fuentedeprrafopredeter"/>
    <w:uiPriority w:val="99"/>
    <w:semiHidden/>
    <w:unhideWhenUsed/>
    <w:rsid w:val="007F352D"/>
    <w:rPr>
      <w:vertAlign w:val="superscript"/>
    </w:rPr>
  </w:style>
  <w:style w:type="paragraph" w:styleId="Textoindependiente">
    <w:name w:val="Body Text"/>
    <w:basedOn w:val="Normal"/>
    <w:link w:val="TextoindependienteCar"/>
    <w:rsid w:val="007F352D"/>
    <w:pPr>
      <w:spacing w:after="0" w:line="240" w:lineRule="auto"/>
      <w:jc w:val="both"/>
    </w:pPr>
    <w:rPr>
      <w:rFonts w:ascii="Futura Lt BT" w:eastAsia="Times New Roman" w:hAnsi="Futura Lt BT" w:cs="Times New Roman"/>
      <w:sz w:val="24"/>
      <w:szCs w:val="24"/>
      <w:lang w:val="es-MX" w:eastAsia="es-ES"/>
    </w:rPr>
  </w:style>
  <w:style w:type="character" w:customStyle="1" w:styleId="TextoindependienteCar">
    <w:name w:val="Texto independiente Car"/>
    <w:basedOn w:val="Fuentedeprrafopredeter"/>
    <w:link w:val="Textoindependiente"/>
    <w:rsid w:val="007F352D"/>
    <w:rPr>
      <w:rFonts w:ascii="Futura Lt BT" w:eastAsia="Times New Roman" w:hAnsi="Futura Lt BT"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52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footnotes.xml.rels><?xml version="1.0" encoding="UTF-8" standalone="yes"?>
<Relationships xmlns="http://schemas.openxmlformats.org/package/2006/relationships"><Relationship Id="rId3" Type="http://schemas.openxmlformats.org/officeDocument/2006/relationships/hyperlink" Target="https://www.bcentral.cl/web/banco-central/sector-externo-inversion-extranjera-directa" TargetMode="External"/><Relationship Id="rId2" Type="http://schemas.openxmlformats.org/officeDocument/2006/relationships/hyperlink" Target="https://www.bcentral.cl/documents/33528/2546144/Cuenta_Capital.pdf" TargetMode="External"/><Relationship Id="rId1" Type="http://schemas.openxmlformats.org/officeDocument/2006/relationships/hyperlink" Target="https://si3.bcentral.cl/estadisticas/Principal1/Metodologias/SE/BDP/Transferencias.pdf" TargetMode="External"/><Relationship Id="rId5" Type="http://schemas.openxmlformats.org/officeDocument/2006/relationships/hyperlink" Target="https://si3.bcentral.cl/estadisticas/Principal1/Metodologias/SE/BDP/CF_Reserva.pdf" TargetMode="External"/><Relationship Id="rId4" Type="http://schemas.openxmlformats.org/officeDocument/2006/relationships/hyperlink" Target="https://si3.bcentral.cl/estadisticas/Principal1/enlaces/excel/SE/Excel_SE_Balanz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9407F-B40A-4571-83AA-AC434958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1984</Words>
  <Characters>10912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Aráuz Angulo, Elisa Javiera</dc:creator>
  <cp:keywords/>
  <dc:description/>
  <cp:lastModifiedBy>Miguel Antonio Aguilar Méndez</cp:lastModifiedBy>
  <cp:revision>3</cp:revision>
  <cp:lastPrinted>2023-05-12T15:15:00Z</cp:lastPrinted>
  <dcterms:created xsi:type="dcterms:W3CDTF">2023-10-30T23:27:00Z</dcterms:created>
  <dcterms:modified xsi:type="dcterms:W3CDTF">2023-10-30T23:30:00Z</dcterms:modified>
</cp:coreProperties>
</file>