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FA" w:rsidRDefault="00EE444E" w:rsidP="00054320">
      <w:pPr>
        <w:jc w:val="center"/>
      </w:pPr>
      <w:r>
        <w:rPr>
          <w:noProof/>
          <w:sz w:val="40"/>
          <w:szCs w:val="40"/>
          <w:lang w:eastAsia="es-NI"/>
        </w:rPr>
        <w:drawing>
          <wp:anchor distT="0" distB="0" distL="114300" distR="114300" simplePos="0" relativeHeight="251728896" behindDoc="1" locked="0" layoutInCell="1" allowOverlap="1" wp14:anchorId="383AEB25" wp14:editId="475BB1B3">
            <wp:simplePos x="0" y="0"/>
            <wp:positionH relativeFrom="page">
              <wp:align>left</wp:align>
            </wp:positionH>
            <wp:positionV relativeFrom="paragraph">
              <wp:posOffset>-1059815</wp:posOffset>
            </wp:positionV>
            <wp:extent cx="7762875" cy="10052162"/>
            <wp:effectExtent l="0" t="0" r="0" b="635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8">
                      <a:extLst>
                        <a:ext uri="{28A0092B-C50C-407E-A947-70E740481C1C}">
                          <a14:useLocalDpi xmlns:a14="http://schemas.microsoft.com/office/drawing/2010/main" val="0"/>
                        </a:ext>
                      </a:extLst>
                    </a:blip>
                    <a:stretch>
                      <a:fillRect/>
                    </a:stretch>
                  </pic:blipFill>
                  <pic:spPr>
                    <a:xfrm>
                      <a:off x="0" y="0"/>
                      <a:ext cx="7762875" cy="10052162"/>
                    </a:xfrm>
                    <a:prstGeom prst="rect">
                      <a:avLst/>
                    </a:prstGeom>
                  </pic:spPr>
                </pic:pic>
              </a:graphicData>
            </a:graphic>
            <wp14:sizeRelH relativeFrom="page">
              <wp14:pctWidth>0</wp14:pctWidth>
            </wp14:sizeRelH>
            <wp14:sizeRelV relativeFrom="page">
              <wp14:pctHeight>0</wp14:pctHeight>
            </wp14:sizeRelV>
          </wp:anchor>
        </w:drawing>
      </w:r>
    </w:p>
    <w:p w:rsidR="00054320" w:rsidRDefault="00054320" w:rsidP="00054320">
      <w:pPr>
        <w:jc w:val="center"/>
      </w:pPr>
    </w:p>
    <w:p w:rsidR="00054320" w:rsidRDefault="00054320" w:rsidP="00054320">
      <w:pPr>
        <w:jc w:val="center"/>
      </w:pPr>
    </w:p>
    <w:p w:rsidR="00054320" w:rsidRDefault="00A30EEF">
      <w:r w:rsidRPr="00EE444E">
        <w:rPr>
          <w:rFonts w:ascii="Calibri" w:eastAsia="Calibri" w:hAnsi="Calibri" w:cs="Times New Roman"/>
          <w:noProof/>
          <w:sz w:val="16"/>
        </w:rPr>
        <mc:AlternateContent>
          <mc:Choice Requires="wps">
            <w:drawing>
              <wp:anchor distT="0" distB="0" distL="114300" distR="114300" simplePos="0" relativeHeight="251732992" behindDoc="0" locked="0" layoutInCell="1" allowOverlap="1" wp14:anchorId="5F54BADD" wp14:editId="50918CF9">
                <wp:simplePos x="0" y="0"/>
                <wp:positionH relativeFrom="margin">
                  <wp:align>left</wp:align>
                </wp:positionH>
                <wp:positionV relativeFrom="paragraph">
                  <wp:posOffset>6130925</wp:posOffset>
                </wp:positionV>
                <wp:extent cx="1828368" cy="523875"/>
                <wp:effectExtent l="0" t="0" r="0" b="0"/>
                <wp:wrapNone/>
                <wp:docPr id="4" name="Rectángulo 4"/>
                <wp:cNvGraphicFramePr/>
                <a:graphic xmlns:a="http://schemas.openxmlformats.org/drawingml/2006/main">
                  <a:graphicData uri="http://schemas.microsoft.com/office/word/2010/wordprocessingShape">
                    <wps:wsp>
                      <wps:cNvSpPr/>
                      <wps:spPr>
                        <a:xfrm>
                          <a:off x="0" y="0"/>
                          <a:ext cx="1828368" cy="523875"/>
                        </a:xfrm>
                        <a:prstGeom prst="rect">
                          <a:avLst/>
                        </a:prstGeom>
                        <a:noFill/>
                        <a:ln w="12700" cap="flat" cmpd="sng" algn="ctr">
                          <a:noFill/>
                          <a:prstDash val="solid"/>
                          <a:miter lim="800000"/>
                        </a:ln>
                        <a:effectLst/>
                      </wps:spPr>
                      <wps:txbx>
                        <w:txbxContent>
                          <w:p w:rsidR="00EE444E" w:rsidRPr="00EE444E" w:rsidRDefault="000633F5" w:rsidP="00A30EEF">
                            <w:pPr>
                              <w:rPr>
                                <w:rFonts w:ascii="Garamond" w:hAnsi="Garamond"/>
                                <w:color w:val="2E74B5"/>
                                <w:sz w:val="40"/>
                                <w:szCs w:val="40"/>
                              </w:rPr>
                            </w:pPr>
                            <w:r>
                              <w:rPr>
                                <w:rFonts w:ascii="Garamond" w:hAnsi="Garamond"/>
                                <w:color w:val="2E74B5"/>
                                <w:sz w:val="40"/>
                                <w:szCs w:val="40"/>
                              </w:rPr>
                              <w:t>Enero</w:t>
                            </w:r>
                            <w:r w:rsidR="00EE444E" w:rsidRPr="00EE444E">
                              <w:rPr>
                                <w:rFonts w:ascii="Garamond" w:hAnsi="Garamond"/>
                                <w:color w:val="2E74B5"/>
                                <w:sz w:val="40"/>
                                <w:szCs w:val="40"/>
                              </w:rPr>
                              <w:t xml:space="preserve"> 202</w:t>
                            </w:r>
                            <w:r>
                              <w:rPr>
                                <w:rFonts w:ascii="Garamond" w:hAnsi="Garamond"/>
                                <w:color w:val="2E74B5"/>
                                <w:sz w:val="40"/>
                                <w:szCs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BADD" id="Rectángulo 4" o:spid="_x0000_s1026" style="position:absolute;margin-left:0;margin-top:482.75pt;width:143.95pt;height:41.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" filled="f" stroked="f" strokeweight="1pt">
                <v:textbox>
                  <w:txbxContent>
                    <w:p w:rsidR="00EE444E" w:rsidRPr="00EE444E" w:rsidRDefault="000633F5" w:rsidP="00A30EEF">
                      <w:pPr>
                        <w:rPr>
                          <w:rFonts w:ascii="Garamond" w:hAnsi="Garamond"/>
                          <w:color w:val="2E74B5"/>
                          <w:sz w:val="40"/>
                          <w:szCs w:val="40"/>
                        </w:rPr>
                      </w:pPr>
                      <w:r>
                        <w:rPr>
                          <w:rFonts w:ascii="Garamond" w:hAnsi="Garamond"/>
                          <w:color w:val="2E74B5"/>
                          <w:sz w:val="40"/>
                          <w:szCs w:val="40"/>
                        </w:rPr>
                        <w:t>Enero</w:t>
                      </w:r>
                      <w:r w:rsidR="00EE444E" w:rsidRPr="00EE444E">
                        <w:rPr>
                          <w:rFonts w:ascii="Garamond" w:hAnsi="Garamond"/>
                          <w:color w:val="2E74B5"/>
                          <w:sz w:val="40"/>
                          <w:szCs w:val="40"/>
                        </w:rPr>
                        <w:t xml:space="preserve"> 202</w:t>
                      </w:r>
                      <w:r>
                        <w:rPr>
                          <w:rFonts w:ascii="Garamond" w:hAnsi="Garamond"/>
                          <w:color w:val="2E74B5"/>
                          <w:sz w:val="40"/>
                          <w:szCs w:val="40"/>
                        </w:rPr>
                        <w:t>4</w:t>
                      </w:r>
                    </w:p>
                  </w:txbxContent>
                </v:textbox>
                <w10:wrap anchorx="margin"/>
              </v:rect>
            </w:pict>
          </mc:Fallback>
        </mc:AlternateContent>
      </w:r>
      <w:r w:rsidR="00EE444E">
        <w:rPr>
          <w:noProof/>
          <w:sz w:val="16"/>
        </w:rPr>
        <mc:AlternateContent>
          <mc:Choice Requires="wps">
            <w:drawing>
              <wp:anchor distT="0" distB="0" distL="114300" distR="114300" simplePos="0" relativeHeight="251730944" behindDoc="0" locked="0" layoutInCell="1" allowOverlap="1" wp14:anchorId="7AD9FA61" wp14:editId="176757D9">
                <wp:simplePos x="0" y="0"/>
                <wp:positionH relativeFrom="margin">
                  <wp:align>left</wp:align>
                </wp:positionH>
                <wp:positionV relativeFrom="paragraph">
                  <wp:posOffset>2054225</wp:posOffset>
                </wp:positionV>
                <wp:extent cx="3552825" cy="1933575"/>
                <wp:effectExtent l="0" t="0" r="0" b="0"/>
                <wp:wrapNone/>
                <wp:docPr id="2" name="Rectángulo 2"/>
                <wp:cNvGraphicFramePr/>
                <a:graphic xmlns:a="http://schemas.openxmlformats.org/drawingml/2006/main">
                  <a:graphicData uri="http://schemas.microsoft.com/office/word/2010/wordprocessingShape">
                    <wps:wsp>
                      <wps:cNvSpPr/>
                      <wps:spPr>
                        <a:xfrm>
                          <a:off x="0" y="0"/>
                          <a:ext cx="3552825" cy="1933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04BB8">
                              <w:rPr>
                                <w:rFonts w:ascii="Garamond" w:hAnsi="Garamond"/>
                                <w:color w:val="2F5496" w:themeColor="accent1" w:themeShade="BF"/>
                                <w:sz w:val="60"/>
                                <w:szCs w:val="60"/>
                              </w:rPr>
                              <w:t>I</w:t>
                            </w:r>
                            <w:r w:rsidR="000633F5">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Pr>
                                <w:rFonts w:ascii="Garamond" w:hAnsi="Garamond"/>
                                <w:color w:val="2F5496" w:themeColor="accent1" w:themeShade="BF"/>
                                <w:sz w:val="60"/>
                                <w:szCs w:val="6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9FA61" id="Rectángulo 2" o:spid="_x0000_s1027" style="position:absolute;margin-left:0;margin-top:161.75pt;width:279.75pt;height:152.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" filled="f" stroked="f" strokeweight="1pt">
                <v:textbox>
                  <w:txbxContent>
                    <w:p w:rsidR="00A30EEF"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 xml:space="preserve">Resultados </w:t>
                      </w:r>
                    </w:p>
                    <w:p w:rsidR="007F352D" w:rsidRPr="007F352D" w:rsidRDefault="007F352D" w:rsidP="00A30EEF">
                      <w:pPr>
                        <w:rPr>
                          <w:rFonts w:ascii="Garamond" w:hAnsi="Garamond"/>
                          <w:color w:val="2F5496" w:themeColor="accent1" w:themeShade="BF"/>
                          <w:sz w:val="60"/>
                          <w:szCs w:val="60"/>
                        </w:rPr>
                      </w:pPr>
                      <w:r w:rsidRPr="007F352D">
                        <w:rPr>
                          <w:rFonts w:ascii="Garamond" w:hAnsi="Garamond"/>
                          <w:color w:val="2F5496" w:themeColor="accent1" w:themeShade="BF"/>
                          <w:sz w:val="60"/>
                          <w:szCs w:val="60"/>
                        </w:rPr>
                        <w:t>de la Balanza de Pagos</w:t>
                      </w:r>
                    </w:p>
                    <w:p w:rsidR="00EE444E" w:rsidRPr="00897288" w:rsidRDefault="00EE444E" w:rsidP="00A30EEF">
                      <w:pPr>
                        <w:rPr>
                          <w:rFonts w:ascii="Garamond" w:hAnsi="Garamond"/>
                          <w:color w:val="000000" w:themeColor="text1"/>
                          <w:sz w:val="60"/>
                          <w:szCs w:val="60"/>
                        </w:rPr>
                      </w:pPr>
                      <w:r w:rsidRPr="00B14BAC">
                        <w:rPr>
                          <w:rFonts w:ascii="Garamond" w:hAnsi="Garamond"/>
                          <w:color w:val="2F5496" w:themeColor="accent1" w:themeShade="BF"/>
                          <w:sz w:val="60"/>
                          <w:szCs w:val="60"/>
                        </w:rPr>
                        <w:t>I</w:t>
                      </w:r>
                      <w:r w:rsidR="00104BB8">
                        <w:rPr>
                          <w:rFonts w:ascii="Garamond" w:hAnsi="Garamond"/>
                          <w:color w:val="2F5496" w:themeColor="accent1" w:themeShade="BF"/>
                          <w:sz w:val="60"/>
                          <w:szCs w:val="60"/>
                        </w:rPr>
                        <w:t>I</w:t>
                      </w:r>
                      <w:r w:rsidR="000633F5">
                        <w:rPr>
                          <w:rFonts w:ascii="Garamond" w:hAnsi="Garamond"/>
                          <w:color w:val="2F5496" w:themeColor="accent1" w:themeShade="BF"/>
                          <w:sz w:val="60"/>
                          <w:szCs w:val="60"/>
                        </w:rPr>
                        <w:t>I</w:t>
                      </w:r>
                      <w:r w:rsidRPr="00B14BAC">
                        <w:rPr>
                          <w:rFonts w:ascii="Garamond" w:hAnsi="Garamond"/>
                          <w:color w:val="2F5496" w:themeColor="accent1" w:themeShade="BF"/>
                          <w:sz w:val="60"/>
                          <w:szCs w:val="60"/>
                        </w:rPr>
                        <w:t xml:space="preserve"> trimestre 202</w:t>
                      </w:r>
                      <w:r>
                        <w:rPr>
                          <w:rFonts w:ascii="Garamond" w:hAnsi="Garamond"/>
                          <w:color w:val="2F5496" w:themeColor="accent1" w:themeShade="BF"/>
                          <w:sz w:val="60"/>
                          <w:szCs w:val="60"/>
                        </w:rPr>
                        <w:t>3</w:t>
                      </w:r>
                    </w:p>
                  </w:txbxContent>
                </v:textbox>
                <w10:wrap anchorx="margin"/>
              </v:rect>
            </w:pict>
          </mc:Fallback>
        </mc:AlternateContent>
      </w:r>
      <w:r w:rsidR="00054320">
        <w:br w:type="page"/>
      </w:r>
    </w:p>
    <w:p w:rsidR="002A6747" w:rsidRPr="007D5436" w:rsidRDefault="002A6747" w:rsidP="002A6747">
      <w:pPr>
        <w:pStyle w:val="TDC1"/>
        <w:tabs>
          <w:tab w:val="right" w:leader="dot" w:pos="10472"/>
        </w:tabs>
        <w:rPr>
          <w:rFonts w:ascii="Futura Md BT" w:hAnsi="Futura Md BT"/>
          <w:b/>
          <w:sz w:val="20"/>
          <w:szCs w:val="20"/>
        </w:rPr>
        <w:sectPr w:rsidR="002A6747" w:rsidRPr="007D5436" w:rsidSect="00C70B0E">
          <w:pgSz w:w="12240" w:h="15840" w:code="1"/>
          <w:pgMar w:top="1701" w:right="1418" w:bottom="1134" w:left="1418" w:header="624" w:footer="624" w:gutter="0"/>
          <w:cols w:space="708"/>
          <w:titlePg/>
          <w:docGrid w:linePitch="360"/>
        </w:sectPr>
      </w:pPr>
    </w:p>
    <w:p w:rsidR="00F6744B" w:rsidRDefault="00F6744B" w:rsidP="00D02B3A">
      <w:pPr>
        <w:pStyle w:val="Estilo2"/>
        <w:numPr>
          <w:ilvl w:val="0"/>
          <w:numId w:val="4"/>
        </w:numPr>
        <w:jc w:val="left"/>
      </w:pPr>
      <w:r>
        <w:lastRenderedPageBreak/>
        <w:t>Resumen</w:t>
      </w:r>
    </w:p>
    <w:p w:rsidR="00F6744B" w:rsidRDefault="00F6744B" w:rsidP="00F6744B">
      <w:pPr>
        <w:pStyle w:val="Estilo2"/>
        <w:ind w:left="862"/>
        <w:jc w:val="left"/>
      </w:pPr>
    </w:p>
    <w:p w:rsidR="00A03667" w:rsidRDefault="00F6744B" w:rsidP="00F6744B">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E</w:t>
      </w:r>
      <w:r w:rsidR="00073235">
        <w:rPr>
          <w:rFonts w:ascii="Futura Lt BT" w:hAnsi="Futura Lt BT" w:cs="Courier New"/>
          <w:sz w:val="24"/>
          <w:szCs w:val="24"/>
          <w:lang w:val="es-MX"/>
        </w:rPr>
        <w:t>n</w:t>
      </w:r>
      <w:r w:rsidR="003C44C4">
        <w:rPr>
          <w:rFonts w:ascii="Futura Lt BT" w:hAnsi="Futura Lt BT" w:cs="Courier New"/>
          <w:sz w:val="24"/>
          <w:szCs w:val="24"/>
          <w:lang w:val="es-MX"/>
        </w:rPr>
        <w:t xml:space="preserve"> la cuenta corriente de la </w:t>
      </w:r>
      <w:r w:rsidRPr="00317203">
        <w:rPr>
          <w:rFonts w:ascii="Futura Lt BT" w:hAnsi="Futura Lt BT" w:cs="Courier New"/>
          <w:sz w:val="24"/>
          <w:szCs w:val="24"/>
          <w:lang w:val="es-MX"/>
        </w:rPr>
        <w:t>balanza de pagos</w:t>
      </w:r>
      <w:r w:rsidR="00073235">
        <w:rPr>
          <w:rFonts w:ascii="Futura Lt BT" w:hAnsi="Futura Lt BT" w:cs="Courier New"/>
          <w:sz w:val="24"/>
          <w:szCs w:val="24"/>
          <w:lang w:val="es-MX"/>
        </w:rPr>
        <w:t xml:space="preserve"> d</w:t>
      </w:r>
      <w:r w:rsidR="00073235" w:rsidRPr="00317203">
        <w:rPr>
          <w:rFonts w:ascii="Futura Lt BT" w:hAnsi="Futura Lt BT" w:cs="Courier New"/>
          <w:sz w:val="24"/>
          <w:szCs w:val="24"/>
          <w:lang w:val="es-MX"/>
        </w:rPr>
        <w:t>el tercer trimestre de 2023</w:t>
      </w:r>
      <w:r w:rsidR="00073235">
        <w:rPr>
          <w:rFonts w:ascii="Futura Lt BT" w:hAnsi="Futura Lt BT" w:cs="Courier New"/>
          <w:sz w:val="24"/>
          <w:szCs w:val="24"/>
          <w:lang w:val="es-MX"/>
        </w:rPr>
        <w:t xml:space="preserve">, se </w:t>
      </w:r>
      <w:r w:rsidR="00EF4E0E">
        <w:rPr>
          <w:rFonts w:ascii="Futura Lt BT" w:hAnsi="Futura Lt BT" w:cs="Courier New"/>
          <w:sz w:val="24"/>
          <w:szCs w:val="24"/>
          <w:lang w:val="es-MX"/>
        </w:rPr>
        <w:t>observó crecimiento</w:t>
      </w:r>
      <w:r w:rsidR="003C44C4">
        <w:rPr>
          <w:rFonts w:ascii="Futura Lt BT" w:hAnsi="Futura Lt BT" w:cs="Courier New"/>
          <w:sz w:val="24"/>
          <w:szCs w:val="24"/>
          <w:lang w:val="es-MX"/>
        </w:rPr>
        <w:t xml:space="preserve"> de las exportaciones de bienes en 6.2 por ciento</w:t>
      </w:r>
      <w:r w:rsidRPr="00317203">
        <w:rPr>
          <w:rFonts w:ascii="Futura Lt BT" w:hAnsi="Futura Lt BT" w:cs="Courier New"/>
          <w:sz w:val="24"/>
          <w:szCs w:val="24"/>
          <w:lang w:val="es-MX"/>
        </w:rPr>
        <w:t xml:space="preserve">, </w:t>
      </w:r>
      <w:r w:rsidR="003C44C4">
        <w:rPr>
          <w:rFonts w:ascii="Futura Lt BT" w:hAnsi="Futura Lt BT" w:cs="Courier New"/>
          <w:sz w:val="24"/>
          <w:szCs w:val="24"/>
          <w:lang w:val="es-MX"/>
        </w:rPr>
        <w:t xml:space="preserve">lo cual significó </w:t>
      </w:r>
      <w:r w:rsidR="00073235">
        <w:rPr>
          <w:rFonts w:ascii="Futura Lt BT" w:hAnsi="Futura Lt BT" w:cs="Courier New"/>
          <w:sz w:val="24"/>
          <w:szCs w:val="24"/>
          <w:lang w:val="es-MX"/>
        </w:rPr>
        <w:t>96.7</w:t>
      </w:r>
      <w:r w:rsidR="003C44C4">
        <w:rPr>
          <w:rFonts w:ascii="Futura Lt BT" w:hAnsi="Futura Lt BT" w:cs="Courier New"/>
          <w:sz w:val="24"/>
          <w:szCs w:val="24"/>
          <w:lang w:val="es-MX"/>
        </w:rPr>
        <w:t xml:space="preserve"> millones de dólares adicionales al registrado en igual per</w:t>
      </w:r>
      <w:r w:rsidR="008437F3">
        <w:rPr>
          <w:rFonts w:ascii="Futura Lt BT" w:hAnsi="Futura Lt BT" w:cs="Courier New"/>
          <w:sz w:val="24"/>
          <w:szCs w:val="24"/>
          <w:lang w:val="es-MX"/>
        </w:rPr>
        <w:t>í</w:t>
      </w:r>
      <w:r w:rsidR="003C44C4">
        <w:rPr>
          <w:rFonts w:ascii="Futura Lt BT" w:hAnsi="Futura Lt BT" w:cs="Courier New"/>
          <w:sz w:val="24"/>
          <w:szCs w:val="24"/>
          <w:lang w:val="es-MX"/>
        </w:rPr>
        <w:t>odo de 2022</w:t>
      </w:r>
      <w:r w:rsidR="008E632A">
        <w:rPr>
          <w:rFonts w:ascii="Futura Lt BT" w:hAnsi="Futura Lt BT" w:cs="Courier New"/>
          <w:sz w:val="24"/>
          <w:szCs w:val="24"/>
          <w:lang w:val="es-MX"/>
        </w:rPr>
        <w:t xml:space="preserve">, </w:t>
      </w:r>
      <w:bookmarkStart w:id="0" w:name="_Hlk157154179"/>
      <w:r w:rsidR="008E632A">
        <w:rPr>
          <w:rFonts w:ascii="Futura Lt BT" w:hAnsi="Futura Lt BT" w:cs="Courier New"/>
          <w:sz w:val="24"/>
          <w:szCs w:val="24"/>
          <w:lang w:val="es-MX"/>
        </w:rPr>
        <w:t>debido principalmente al aumento de los precios contratados.</w:t>
      </w:r>
      <w:r w:rsidR="003C44C4">
        <w:rPr>
          <w:rFonts w:ascii="Futura Lt BT" w:hAnsi="Futura Lt BT" w:cs="Courier New"/>
          <w:sz w:val="24"/>
          <w:szCs w:val="24"/>
          <w:lang w:val="es-MX"/>
        </w:rPr>
        <w:t xml:space="preserve"> </w:t>
      </w:r>
      <w:r w:rsidR="00A03667">
        <w:rPr>
          <w:rFonts w:ascii="Futura Lt BT" w:hAnsi="Futura Lt BT" w:cs="Courier New"/>
          <w:sz w:val="24"/>
          <w:szCs w:val="24"/>
          <w:lang w:val="es-MX"/>
        </w:rPr>
        <w:t xml:space="preserve">Asimismo, las importaciones de bienes registraron un crecimiento interanual de 3.9 por ciento, </w:t>
      </w:r>
      <w:r w:rsidR="00A824FD" w:rsidRPr="00317203">
        <w:rPr>
          <w:rFonts w:ascii="Futura Lt BT" w:hAnsi="Futura Lt BT" w:cs="Courier New"/>
          <w:sz w:val="24"/>
          <w:szCs w:val="24"/>
          <w:lang w:val="es-MX"/>
        </w:rPr>
        <w:t>como resultado de</w:t>
      </w:r>
      <w:r w:rsidR="007B5E31">
        <w:rPr>
          <w:rFonts w:ascii="Futura Lt BT" w:hAnsi="Futura Lt BT" w:cs="Courier New"/>
          <w:sz w:val="24"/>
          <w:szCs w:val="24"/>
          <w:lang w:val="es-MX"/>
        </w:rPr>
        <w:t>l</w:t>
      </w:r>
      <w:r w:rsidR="00A824FD" w:rsidRPr="00317203">
        <w:rPr>
          <w:rFonts w:ascii="Futura Lt BT" w:hAnsi="Futura Lt BT" w:cs="Courier New"/>
          <w:sz w:val="24"/>
          <w:szCs w:val="24"/>
          <w:lang w:val="es-MX"/>
        </w:rPr>
        <w:t xml:space="preserve"> aumento en los volúmenes</w:t>
      </w:r>
      <w:r w:rsidR="00B17336" w:rsidRPr="00317203">
        <w:rPr>
          <w:rFonts w:ascii="Futura Lt BT" w:hAnsi="Futura Lt BT" w:cs="Courier New"/>
          <w:sz w:val="24"/>
          <w:szCs w:val="24"/>
          <w:lang w:val="es-MX"/>
        </w:rPr>
        <w:t xml:space="preserve"> (1</w:t>
      </w:r>
      <w:r w:rsidR="00DF5774" w:rsidRPr="00317203">
        <w:rPr>
          <w:rFonts w:ascii="Futura Lt BT" w:hAnsi="Futura Lt BT" w:cs="Courier New"/>
          <w:sz w:val="24"/>
          <w:szCs w:val="24"/>
          <w:lang w:val="es-MX"/>
        </w:rPr>
        <w:t>4</w:t>
      </w:r>
      <w:r w:rsidR="00B17336" w:rsidRPr="00317203">
        <w:rPr>
          <w:rFonts w:ascii="Futura Lt BT" w:hAnsi="Futura Lt BT" w:cs="Courier New"/>
          <w:sz w:val="24"/>
          <w:szCs w:val="24"/>
          <w:lang w:val="es-MX"/>
        </w:rPr>
        <w:t>.</w:t>
      </w:r>
      <w:r w:rsidR="00DF5774" w:rsidRPr="00317203">
        <w:rPr>
          <w:rFonts w:ascii="Futura Lt BT" w:hAnsi="Futura Lt BT" w:cs="Courier New"/>
          <w:sz w:val="24"/>
          <w:szCs w:val="24"/>
          <w:lang w:val="es-MX"/>
        </w:rPr>
        <w:t>4</w:t>
      </w:r>
      <w:r w:rsidR="00B17336" w:rsidRPr="00317203">
        <w:rPr>
          <w:rFonts w:ascii="Futura Lt BT" w:hAnsi="Futura Lt BT" w:cs="Courier New"/>
          <w:sz w:val="24"/>
          <w:szCs w:val="24"/>
          <w:lang w:val="es-MX"/>
        </w:rPr>
        <w:t>%)</w:t>
      </w:r>
      <w:r w:rsidR="00A824FD" w:rsidRPr="00317203">
        <w:rPr>
          <w:rFonts w:ascii="Futura Lt BT" w:hAnsi="Futura Lt BT" w:cs="Courier New"/>
          <w:sz w:val="24"/>
          <w:szCs w:val="24"/>
          <w:lang w:val="es-MX"/>
        </w:rPr>
        <w:t xml:space="preserve"> y </w:t>
      </w:r>
      <w:r w:rsidR="00B17336" w:rsidRPr="00317203">
        <w:rPr>
          <w:rFonts w:ascii="Futura Lt BT" w:hAnsi="Futura Lt BT" w:cs="Courier New"/>
          <w:sz w:val="24"/>
          <w:szCs w:val="24"/>
          <w:lang w:val="es-MX"/>
        </w:rPr>
        <w:t xml:space="preserve">disminución en los </w:t>
      </w:r>
      <w:r w:rsidR="00A824FD" w:rsidRPr="00317203">
        <w:rPr>
          <w:rFonts w:ascii="Futura Lt BT" w:hAnsi="Futura Lt BT" w:cs="Courier New"/>
          <w:sz w:val="24"/>
          <w:szCs w:val="24"/>
          <w:lang w:val="es-MX"/>
        </w:rPr>
        <w:t>precios contratados (-</w:t>
      </w:r>
      <w:r w:rsidR="00DF5774" w:rsidRPr="00317203">
        <w:rPr>
          <w:rFonts w:ascii="Futura Lt BT" w:hAnsi="Futura Lt BT" w:cs="Courier New"/>
          <w:sz w:val="24"/>
          <w:szCs w:val="24"/>
          <w:lang w:val="es-MX"/>
        </w:rPr>
        <w:t>10</w:t>
      </w:r>
      <w:r w:rsidR="00CF7E81" w:rsidRPr="00317203">
        <w:rPr>
          <w:rFonts w:ascii="Futura Lt BT" w:hAnsi="Futura Lt BT" w:cs="Courier New"/>
          <w:sz w:val="24"/>
          <w:szCs w:val="24"/>
          <w:lang w:val="es-MX"/>
        </w:rPr>
        <w:t>.</w:t>
      </w:r>
      <w:r w:rsidR="00DF5774" w:rsidRPr="00317203">
        <w:rPr>
          <w:rFonts w:ascii="Futura Lt BT" w:hAnsi="Futura Lt BT" w:cs="Courier New"/>
          <w:sz w:val="24"/>
          <w:szCs w:val="24"/>
          <w:lang w:val="es-MX"/>
        </w:rPr>
        <w:t>5</w:t>
      </w:r>
      <w:r w:rsidR="00A824FD" w:rsidRPr="00317203">
        <w:rPr>
          <w:rFonts w:ascii="Futura Lt BT" w:hAnsi="Futura Lt BT" w:cs="Courier New"/>
          <w:sz w:val="24"/>
          <w:szCs w:val="24"/>
          <w:lang w:val="es-MX"/>
        </w:rPr>
        <w:t>%).</w:t>
      </w:r>
      <w:r w:rsidR="00D52C07" w:rsidRPr="00317203">
        <w:rPr>
          <w:rFonts w:ascii="Futura Lt BT" w:hAnsi="Futura Lt BT" w:cs="Courier New"/>
          <w:sz w:val="24"/>
          <w:szCs w:val="24"/>
          <w:lang w:val="es-MX"/>
        </w:rPr>
        <w:t xml:space="preserve"> </w:t>
      </w:r>
      <w:r w:rsidR="00861854" w:rsidRPr="00317203">
        <w:rPr>
          <w:rFonts w:ascii="Futura Lt BT" w:hAnsi="Futura Lt BT" w:cs="Courier New"/>
          <w:sz w:val="24"/>
          <w:szCs w:val="24"/>
          <w:lang w:val="es-MX"/>
        </w:rPr>
        <w:t xml:space="preserve">Con estos resultados, </w:t>
      </w:r>
      <w:r w:rsidR="00D52C07" w:rsidRPr="00317203">
        <w:rPr>
          <w:rFonts w:ascii="Futura Lt BT" w:hAnsi="Futura Lt BT" w:cs="Courier New"/>
          <w:sz w:val="24"/>
          <w:szCs w:val="24"/>
          <w:lang w:val="es-MX"/>
        </w:rPr>
        <w:t>las exportaciones de bienes</w:t>
      </w:r>
      <w:r w:rsidR="007B5E31">
        <w:rPr>
          <w:rFonts w:ascii="Futura Lt BT" w:hAnsi="Futura Lt BT" w:cs="Courier New"/>
          <w:sz w:val="24"/>
          <w:szCs w:val="24"/>
          <w:lang w:val="es-MX"/>
        </w:rPr>
        <w:t xml:space="preserve"> acumuladas a septiembre de 2023</w:t>
      </w:r>
      <w:r w:rsidR="00D52C07" w:rsidRPr="00317203">
        <w:rPr>
          <w:rFonts w:ascii="Futura Lt BT" w:hAnsi="Futura Lt BT" w:cs="Courier New"/>
          <w:sz w:val="24"/>
          <w:szCs w:val="24"/>
          <w:lang w:val="es-MX"/>
        </w:rPr>
        <w:t xml:space="preserve"> </w:t>
      </w:r>
      <w:r w:rsidR="00A03667">
        <w:rPr>
          <w:rFonts w:ascii="Futura Lt BT" w:hAnsi="Futura Lt BT" w:cs="Courier New"/>
          <w:sz w:val="24"/>
          <w:szCs w:val="24"/>
          <w:lang w:val="es-MX"/>
        </w:rPr>
        <w:t>sumaron 5</w:t>
      </w:r>
      <w:r w:rsidR="0076236F" w:rsidRPr="00317203">
        <w:rPr>
          <w:rFonts w:ascii="Futura Lt BT" w:hAnsi="Futura Lt BT" w:cs="Courier New"/>
          <w:sz w:val="24"/>
          <w:szCs w:val="24"/>
          <w:lang w:val="es-MX"/>
        </w:rPr>
        <w:t>,2</w:t>
      </w:r>
      <w:r w:rsidR="00192F52" w:rsidRPr="00317203">
        <w:rPr>
          <w:rFonts w:ascii="Futura Lt BT" w:hAnsi="Futura Lt BT" w:cs="Courier New"/>
          <w:sz w:val="24"/>
          <w:szCs w:val="24"/>
          <w:lang w:val="es-MX"/>
        </w:rPr>
        <w:t>3</w:t>
      </w:r>
      <w:r w:rsidR="0076236F" w:rsidRPr="00317203">
        <w:rPr>
          <w:rFonts w:ascii="Futura Lt BT" w:hAnsi="Futura Lt BT" w:cs="Courier New"/>
          <w:sz w:val="24"/>
          <w:szCs w:val="24"/>
          <w:lang w:val="es-MX"/>
        </w:rPr>
        <w:t>0</w:t>
      </w:r>
      <w:r w:rsidR="00192F52" w:rsidRPr="00317203">
        <w:rPr>
          <w:rFonts w:ascii="Futura Lt BT" w:hAnsi="Futura Lt BT" w:cs="Courier New"/>
          <w:sz w:val="24"/>
          <w:szCs w:val="24"/>
          <w:lang w:val="es-MX"/>
        </w:rPr>
        <w:t>.</w:t>
      </w:r>
      <w:r w:rsidR="0076236F" w:rsidRPr="00317203">
        <w:rPr>
          <w:rFonts w:ascii="Futura Lt BT" w:hAnsi="Futura Lt BT" w:cs="Courier New"/>
          <w:sz w:val="24"/>
          <w:szCs w:val="24"/>
          <w:lang w:val="es-MX"/>
        </w:rPr>
        <w:t>1</w:t>
      </w:r>
      <w:r w:rsidR="00192F52" w:rsidRPr="00317203">
        <w:rPr>
          <w:rFonts w:ascii="Futura Lt BT" w:hAnsi="Futura Lt BT" w:cs="Courier New"/>
          <w:sz w:val="24"/>
          <w:szCs w:val="24"/>
          <w:lang w:val="es-MX"/>
        </w:rPr>
        <w:t xml:space="preserve"> millones</w:t>
      </w:r>
      <w:r w:rsidR="00A03667">
        <w:rPr>
          <w:rFonts w:ascii="Futura Lt BT" w:hAnsi="Futura Lt BT" w:cs="Courier New"/>
          <w:sz w:val="24"/>
          <w:szCs w:val="24"/>
          <w:lang w:val="es-MX"/>
        </w:rPr>
        <w:t xml:space="preserve"> de dólares, para </w:t>
      </w:r>
      <w:r w:rsidR="007B5E31">
        <w:rPr>
          <w:rFonts w:ascii="Futura Lt BT" w:hAnsi="Futura Lt BT" w:cs="Courier New"/>
          <w:sz w:val="24"/>
          <w:szCs w:val="24"/>
          <w:lang w:val="es-MX"/>
        </w:rPr>
        <w:t xml:space="preserve">un </w:t>
      </w:r>
      <w:r w:rsidR="00192F52" w:rsidRPr="00317203">
        <w:rPr>
          <w:rFonts w:ascii="Futura Lt BT" w:hAnsi="Futura Lt BT" w:cs="Courier New"/>
          <w:sz w:val="24"/>
          <w:szCs w:val="24"/>
          <w:lang w:val="es-MX"/>
        </w:rPr>
        <w:t>crecimiento interanual de 6.</w:t>
      </w:r>
      <w:r w:rsidR="00E93300" w:rsidRPr="00317203">
        <w:rPr>
          <w:rFonts w:ascii="Futura Lt BT" w:hAnsi="Futura Lt BT" w:cs="Courier New"/>
          <w:sz w:val="24"/>
          <w:szCs w:val="24"/>
          <w:lang w:val="es-MX"/>
        </w:rPr>
        <w:t>4</w:t>
      </w:r>
      <w:r w:rsidR="00192F52" w:rsidRPr="00317203">
        <w:rPr>
          <w:rFonts w:ascii="Futura Lt BT" w:hAnsi="Futura Lt BT" w:cs="Courier New"/>
          <w:sz w:val="24"/>
          <w:szCs w:val="24"/>
          <w:lang w:val="es-MX"/>
        </w:rPr>
        <w:t xml:space="preserve"> por ciento</w:t>
      </w:r>
      <w:r w:rsidR="00A03667">
        <w:rPr>
          <w:rFonts w:ascii="Futura Lt BT" w:hAnsi="Futura Lt BT" w:cs="Courier New"/>
          <w:sz w:val="24"/>
          <w:szCs w:val="24"/>
          <w:lang w:val="es-MX"/>
        </w:rPr>
        <w:t xml:space="preserve">; mientras que </w:t>
      </w:r>
      <w:r w:rsidR="00D52C07" w:rsidRPr="00317203">
        <w:rPr>
          <w:rFonts w:ascii="Futura Lt BT" w:hAnsi="Futura Lt BT" w:cs="Courier New"/>
          <w:sz w:val="24"/>
          <w:szCs w:val="24"/>
          <w:lang w:val="es-MX"/>
        </w:rPr>
        <w:t xml:space="preserve">las importaciones </w:t>
      </w:r>
      <w:r w:rsidR="007B5E31">
        <w:rPr>
          <w:rFonts w:ascii="Futura Lt BT" w:hAnsi="Futura Lt BT" w:cs="Courier New"/>
          <w:sz w:val="24"/>
          <w:szCs w:val="24"/>
          <w:lang w:val="es-MX"/>
        </w:rPr>
        <w:t xml:space="preserve">acumuladas </w:t>
      </w:r>
      <w:r w:rsidR="00A03667">
        <w:rPr>
          <w:rFonts w:ascii="Futura Lt BT" w:hAnsi="Futura Lt BT" w:cs="Courier New"/>
          <w:sz w:val="24"/>
          <w:szCs w:val="24"/>
          <w:lang w:val="es-MX"/>
        </w:rPr>
        <w:t>totalizaron</w:t>
      </w:r>
      <w:bookmarkStart w:id="1" w:name="_GoBack"/>
      <w:bookmarkEnd w:id="1"/>
      <w:r w:rsidR="00A03667">
        <w:rPr>
          <w:rFonts w:ascii="Futura Lt BT" w:hAnsi="Futura Lt BT" w:cs="Courier New"/>
          <w:sz w:val="24"/>
          <w:szCs w:val="24"/>
          <w:lang w:val="es-MX"/>
        </w:rPr>
        <w:t xml:space="preserve"> </w:t>
      </w:r>
      <w:r w:rsidR="00E93300" w:rsidRPr="00317203">
        <w:rPr>
          <w:rFonts w:ascii="Futura Lt BT" w:hAnsi="Futura Lt BT" w:cs="Courier New"/>
          <w:sz w:val="24"/>
          <w:szCs w:val="24"/>
          <w:lang w:val="es-MX"/>
        </w:rPr>
        <w:t>6</w:t>
      </w:r>
      <w:r w:rsidR="00E22F00" w:rsidRPr="00317203">
        <w:rPr>
          <w:rFonts w:ascii="Futura Lt BT" w:hAnsi="Futura Lt BT" w:cs="Courier New"/>
          <w:sz w:val="24"/>
          <w:szCs w:val="24"/>
          <w:lang w:val="es-MX"/>
        </w:rPr>
        <w:t>,8</w:t>
      </w:r>
      <w:r w:rsidR="00E93300" w:rsidRPr="00317203">
        <w:rPr>
          <w:rFonts w:ascii="Futura Lt BT" w:hAnsi="Futura Lt BT" w:cs="Courier New"/>
          <w:sz w:val="24"/>
          <w:szCs w:val="24"/>
          <w:lang w:val="es-MX"/>
        </w:rPr>
        <w:t>73</w:t>
      </w:r>
      <w:r w:rsidR="00E22F00" w:rsidRPr="00317203">
        <w:rPr>
          <w:rFonts w:ascii="Futura Lt BT" w:hAnsi="Futura Lt BT" w:cs="Courier New"/>
          <w:sz w:val="24"/>
          <w:szCs w:val="24"/>
          <w:lang w:val="es-MX"/>
        </w:rPr>
        <w:t>.</w:t>
      </w:r>
      <w:r w:rsidR="00E93300" w:rsidRPr="00317203">
        <w:rPr>
          <w:rFonts w:ascii="Futura Lt BT" w:hAnsi="Futura Lt BT" w:cs="Courier New"/>
          <w:sz w:val="24"/>
          <w:szCs w:val="24"/>
          <w:lang w:val="es-MX"/>
        </w:rPr>
        <w:t>1</w:t>
      </w:r>
      <w:r w:rsidR="00E22F00" w:rsidRPr="00317203">
        <w:rPr>
          <w:rFonts w:ascii="Futura Lt BT" w:hAnsi="Futura Lt BT" w:cs="Courier New"/>
          <w:sz w:val="24"/>
          <w:szCs w:val="24"/>
          <w:lang w:val="es-MX"/>
        </w:rPr>
        <w:t xml:space="preserve"> millones</w:t>
      </w:r>
      <w:r w:rsidR="00A03667">
        <w:rPr>
          <w:rFonts w:ascii="Futura Lt BT" w:hAnsi="Futura Lt BT" w:cs="Courier New"/>
          <w:sz w:val="24"/>
          <w:szCs w:val="24"/>
          <w:lang w:val="es-MX"/>
        </w:rPr>
        <w:t xml:space="preserve">, siendo superiores en </w:t>
      </w:r>
      <w:r w:rsidR="00192F52" w:rsidRPr="00317203">
        <w:rPr>
          <w:rFonts w:ascii="Futura Lt BT" w:hAnsi="Futura Lt BT" w:cs="Courier New"/>
          <w:sz w:val="24"/>
          <w:szCs w:val="24"/>
          <w:lang w:val="es-MX"/>
        </w:rPr>
        <w:t>1.</w:t>
      </w:r>
      <w:r w:rsidR="00E93300" w:rsidRPr="00317203">
        <w:rPr>
          <w:rFonts w:ascii="Futura Lt BT" w:hAnsi="Futura Lt BT" w:cs="Courier New"/>
          <w:sz w:val="24"/>
          <w:szCs w:val="24"/>
          <w:lang w:val="es-MX"/>
        </w:rPr>
        <w:t>0</w:t>
      </w:r>
      <w:r w:rsidR="00192F52" w:rsidRPr="00317203">
        <w:rPr>
          <w:rFonts w:ascii="Futura Lt BT" w:hAnsi="Futura Lt BT" w:cs="Courier New"/>
          <w:sz w:val="24"/>
          <w:szCs w:val="24"/>
          <w:lang w:val="es-MX"/>
        </w:rPr>
        <w:t xml:space="preserve"> por ciento</w:t>
      </w:r>
      <w:r w:rsidR="00A03667">
        <w:rPr>
          <w:rFonts w:ascii="Futura Lt BT" w:hAnsi="Futura Lt BT" w:cs="Courier New"/>
          <w:sz w:val="24"/>
          <w:szCs w:val="24"/>
          <w:lang w:val="es-MX"/>
        </w:rPr>
        <w:t xml:space="preserve"> a igual per</w:t>
      </w:r>
      <w:r w:rsidR="008437F3">
        <w:rPr>
          <w:rFonts w:ascii="Futura Lt BT" w:hAnsi="Futura Lt BT" w:cs="Courier New"/>
          <w:sz w:val="24"/>
          <w:szCs w:val="24"/>
          <w:lang w:val="es-MX"/>
        </w:rPr>
        <w:t>í</w:t>
      </w:r>
      <w:r w:rsidR="00A03667">
        <w:rPr>
          <w:rFonts w:ascii="Futura Lt BT" w:hAnsi="Futura Lt BT" w:cs="Courier New"/>
          <w:sz w:val="24"/>
          <w:szCs w:val="24"/>
          <w:lang w:val="es-MX"/>
        </w:rPr>
        <w:t>odo de 2022</w:t>
      </w:r>
      <w:r w:rsidR="00E22F00" w:rsidRPr="00317203">
        <w:rPr>
          <w:rFonts w:ascii="Futura Lt BT" w:hAnsi="Futura Lt BT" w:cs="Courier New"/>
          <w:sz w:val="24"/>
          <w:szCs w:val="24"/>
          <w:lang w:val="es-MX"/>
        </w:rPr>
        <w:t>.</w:t>
      </w:r>
    </w:p>
    <w:bookmarkEnd w:id="0"/>
    <w:p w:rsidR="00A03667" w:rsidRDefault="00A03667" w:rsidP="00F6744B">
      <w:pPr>
        <w:spacing w:after="0" w:line="276" w:lineRule="auto"/>
        <w:jc w:val="both"/>
        <w:rPr>
          <w:rFonts w:ascii="Futura Lt BT" w:hAnsi="Futura Lt BT" w:cs="Courier New"/>
          <w:sz w:val="24"/>
          <w:szCs w:val="24"/>
          <w:lang w:val="es-MX"/>
        </w:rPr>
      </w:pPr>
    </w:p>
    <w:p w:rsidR="00876708" w:rsidRPr="00317203" w:rsidRDefault="00D35709" w:rsidP="00F6744B">
      <w:pPr>
        <w:spacing w:after="0" w:line="276" w:lineRule="auto"/>
        <w:jc w:val="both"/>
        <w:rPr>
          <w:rFonts w:ascii="Futura Lt BT" w:hAnsi="Futura Lt BT" w:cs="Courier New"/>
          <w:sz w:val="24"/>
          <w:szCs w:val="24"/>
          <w:lang w:val="es-MX"/>
        </w:rPr>
      </w:pPr>
      <w:bookmarkStart w:id="2" w:name="_Hlk157154231"/>
      <w:bookmarkStart w:id="3" w:name="_Hlk157154299"/>
      <w:r w:rsidRPr="00EF4E0E">
        <w:rPr>
          <w:rFonts w:ascii="Futura Lt BT" w:hAnsi="Futura Lt BT" w:cs="Courier New"/>
          <w:sz w:val="24"/>
          <w:szCs w:val="24"/>
          <w:lang w:val="es-MX"/>
        </w:rPr>
        <w:t>En el comercio de servicio</w:t>
      </w:r>
      <w:r w:rsidR="008437F3" w:rsidRPr="00EF4E0E">
        <w:rPr>
          <w:rFonts w:ascii="Futura Lt BT" w:hAnsi="Futura Lt BT" w:cs="Courier New"/>
          <w:sz w:val="24"/>
          <w:szCs w:val="24"/>
          <w:lang w:val="es-MX"/>
        </w:rPr>
        <w:t>s</w:t>
      </w:r>
      <w:bookmarkEnd w:id="2"/>
      <w:r w:rsidRPr="00EF4E0E">
        <w:rPr>
          <w:rFonts w:ascii="Futura Lt BT" w:hAnsi="Futura Lt BT" w:cs="Courier New"/>
          <w:sz w:val="24"/>
          <w:szCs w:val="24"/>
          <w:lang w:val="es-MX"/>
        </w:rPr>
        <w:t xml:space="preserve">, </w:t>
      </w:r>
      <w:r w:rsidR="00B17336" w:rsidRPr="00EF4E0E">
        <w:rPr>
          <w:rFonts w:ascii="Futura Lt BT" w:hAnsi="Futura Lt BT" w:cs="Courier New"/>
          <w:sz w:val="24"/>
          <w:szCs w:val="24"/>
          <w:lang w:val="es-MX"/>
        </w:rPr>
        <w:t>los ingresos por turismo de no residentes</w:t>
      </w:r>
      <w:r w:rsidR="007B5E31" w:rsidRPr="00EF4E0E">
        <w:rPr>
          <w:rFonts w:ascii="Futura Lt BT" w:hAnsi="Futura Lt BT" w:cs="Courier New"/>
          <w:sz w:val="24"/>
          <w:szCs w:val="24"/>
          <w:lang w:val="es-MX"/>
        </w:rPr>
        <w:t xml:space="preserve"> </w:t>
      </w:r>
      <w:r w:rsidRPr="00EF4E0E">
        <w:rPr>
          <w:rFonts w:ascii="Futura Lt BT" w:hAnsi="Futura Lt BT" w:cs="Courier New"/>
          <w:sz w:val="24"/>
          <w:szCs w:val="24"/>
          <w:lang w:val="es-MX"/>
        </w:rPr>
        <w:t xml:space="preserve">mostraron un </w:t>
      </w:r>
      <w:r w:rsidR="00C05D8C" w:rsidRPr="00EF4E0E">
        <w:rPr>
          <w:rFonts w:ascii="Futura Lt BT" w:hAnsi="Futura Lt BT" w:cs="Courier New"/>
          <w:sz w:val="24"/>
          <w:szCs w:val="24"/>
          <w:lang w:val="es-MX"/>
        </w:rPr>
        <w:t>crecimiento</w:t>
      </w:r>
      <w:r w:rsidRPr="00EF4E0E">
        <w:rPr>
          <w:rFonts w:ascii="Futura Lt BT" w:hAnsi="Futura Lt BT" w:cs="Courier New"/>
          <w:sz w:val="24"/>
          <w:szCs w:val="24"/>
          <w:lang w:val="es-MX"/>
        </w:rPr>
        <w:t xml:space="preserve"> interanual de </w:t>
      </w:r>
      <w:r w:rsidR="00C05D8C" w:rsidRPr="00EF4E0E">
        <w:rPr>
          <w:rFonts w:ascii="Futura Lt BT" w:hAnsi="Futura Lt BT" w:cs="Courier New"/>
          <w:sz w:val="24"/>
          <w:szCs w:val="24"/>
          <w:lang w:val="es-MX"/>
        </w:rPr>
        <w:t>49.8</w:t>
      </w:r>
      <w:r w:rsidRPr="00EF4E0E">
        <w:rPr>
          <w:rFonts w:ascii="Futura Lt BT" w:hAnsi="Futura Lt BT" w:cs="Courier New"/>
          <w:sz w:val="24"/>
          <w:szCs w:val="24"/>
          <w:lang w:val="es-MX"/>
        </w:rPr>
        <w:t xml:space="preserve"> por ciento</w:t>
      </w:r>
      <w:r w:rsidR="008437F3" w:rsidRPr="00EF4E0E">
        <w:rPr>
          <w:rFonts w:ascii="Futura Lt BT" w:hAnsi="Futura Lt BT" w:cs="Courier New"/>
          <w:sz w:val="24"/>
          <w:szCs w:val="24"/>
          <w:lang w:val="es-MX"/>
        </w:rPr>
        <w:t xml:space="preserve"> en el trimestre</w:t>
      </w:r>
      <w:r w:rsidRPr="00EF4E0E">
        <w:rPr>
          <w:rFonts w:ascii="Futura Lt BT" w:hAnsi="Futura Lt BT" w:cs="Courier New"/>
          <w:sz w:val="24"/>
          <w:szCs w:val="24"/>
          <w:lang w:val="es-MX"/>
        </w:rPr>
        <w:t xml:space="preserve">, al </w:t>
      </w:r>
      <w:r w:rsidR="007B5E31" w:rsidRPr="00EF4E0E">
        <w:rPr>
          <w:rFonts w:ascii="Futura Lt BT" w:hAnsi="Futura Lt BT" w:cs="Courier New"/>
          <w:sz w:val="24"/>
          <w:szCs w:val="24"/>
          <w:lang w:val="es-MX"/>
        </w:rPr>
        <w:t>totaliza</w:t>
      </w:r>
      <w:r w:rsidRPr="00EF4E0E">
        <w:rPr>
          <w:rFonts w:ascii="Futura Lt BT" w:hAnsi="Futura Lt BT" w:cs="Courier New"/>
          <w:sz w:val="24"/>
          <w:szCs w:val="24"/>
          <w:lang w:val="es-MX"/>
        </w:rPr>
        <w:t xml:space="preserve">r </w:t>
      </w:r>
      <w:r w:rsidR="00C05D8C" w:rsidRPr="00EF4E0E">
        <w:rPr>
          <w:rFonts w:ascii="Futura Lt BT" w:hAnsi="Futura Lt BT" w:cs="Courier New"/>
          <w:sz w:val="24"/>
          <w:szCs w:val="24"/>
          <w:lang w:val="es-MX"/>
        </w:rPr>
        <w:t>227.8</w:t>
      </w:r>
      <w:r w:rsidR="007B5E31" w:rsidRPr="00EF4E0E">
        <w:rPr>
          <w:rFonts w:ascii="Futura Lt BT" w:hAnsi="Futura Lt BT" w:cs="Courier New"/>
          <w:sz w:val="24"/>
          <w:szCs w:val="24"/>
          <w:lang w:val="es-MX"/>
        </w:rPr>
        <w:t xml:space="preserve"> millones</w:t>
      </w:r>
      <w:r w:rsidR="00073235" w:rsidRPr="00EF4E0E">
        <w:rPr>
          <w:rFonts w:ascii="Futura Lt BT" w:hAnsi="Futura Lt BT" w:cs="Courier New"/>
          <w:sz w:val="24"/>
          <w:szCs w:val="24"/>
          <w:lang w:val="es-MX"/>
        </w:rPr>
        <w:t xml:space="preserve"> de dólares, que estuvo soportado por incrementos </w:t>
      </w:r>
      <w:r w:rsidR="00395240" w:rsidRPr="00EF4E0E">
        <w:rPr>
          <w:rFonts w:ascii="Futura Lt BT" w:hAnsi="Futura Lt BT" w:cs="Courier New"/>
          <w:sz w:val="24"/>
          <w:szCs w:val="24"/>
          <w:lang w:val="es-MX"/>
        </w:rPr>
        <w:t xml:space="preserve">en la entrada de turistas y del gasto per </w:t>
      </w:r>
      <w:r w:rsidR="00C11EF0" w:rsidRPr="00EF4E0E">
        <w:rPr>
          <w:rFonts w:ascii="Futura Lt BT" w:hAnsi="Futura Lt BT" w:cs="Courier New"/>
          <w:sz w:val="24"/>
          <w:szCs w:val="24"/>
          <w:lang w:val="es-MX"/>
        </w:rPr>
        <w:t xml:space="preserve">promedio </w:t>
      </w:r>
      <w:proofErr w:type="spellStart"/>
      <w:r w:rsidR="00C11EF0" w:rsidRPr="00EF4E0E">
        <w:rPr>
          <w:rFonts w:ascii="Futura Lt BT" w:hAnsi="Futura Lt BT" w:cs="Courier New"/>
          <w:sz w:val="24"/>
          <w:szCs w:val="24"/>
          <w:lang w:val="es-MX"/>
        </w:rPr>
        <w:t>per</w:t>
      </w:r>
      <w:r w:rsidR="00395240" w:rsidRPr="00EF4E0E">
        <w:rPr>
          <w:rFonts w:ascii="Futura Lt BT" w:hAnsi="Futura Lt BT" w:cs="Courier New"/>
          <w:sz w:val="24"/>
          <w:szCs w:val="24"/>
          <w:lang w:val="es-MX"/>
        </w:rPr>
        <w:t>cápita</w:t>
      </w:r>
      <w:proofErr w:type="spellEnd"/>
      <w:r w:rsidR="00C11EF0" w:rsidRPr="00EF4E0E">
        <w:rPr>
          <w:rFonts w:ascii="Futura Lt BT" w:hAnsi="Futura Lt BT" w:cs="Courier New"/>
          <w:sz w:val="24"/>
          <w:szCs w:val="24"/>
          <w:lang w:val="es-MX"/>
        </w:rPr>
        <w:t xml:space="preserve">. </w:t>
      </w:r>
      <w:r w:rsidR="001659C6" w:rsidRPr="00EF4E0E">
        <w:rPr>
          <w:rFonts w:ascii="Futura Lt BT" w:hAnsi="Futura Lt BT" w:cs="Courier New"/>
          <w:sz w:val="24"/>
          <w:szCs w:val="24"/>
          <w:lang w:val="es-MX"/>
        </w:rPr>
        <w:t xml:space="preserve">En el acumulado a septiembre, </w:t>
      </w:r>
      <w:r w:rsidR="007B5E31" w:rsidRPr="00EF4E0E">
        <w:rPr>
          <w:rFonts w:ascii="Futura Lt BT" w:hAnsi="Futura Lt BT" w:cs="Courier New"/>
          <w:sz w:val="24"/>
          <w:szCs w:val="24"/>
          <w:lang w:val="es-MX"/>
        </w:rPr>
        <w:t>los ingresos por turismo</w:t>
      </w:r>
      <w:r w:rsidR="00E22F00" w:rsidRPr="00EF4E0E">
        <w:rPr>
          <w:rFonts w:ascii="Futura Lt BT" w:hAnsi="Futura Lt BT" w:cs="Courier New"/>
          <w:sz w:val="24"/>
          <w:szCs w:val="24"/>
          <w:lang w:val="es-MX"/>
        </w:rPr>
        <w:t xml:space="preserve"> totalizaron </w:t>
      </w:r>
      <w:r w:rsidR="00C05D8C" w:rsidRPr="00EF4E0E">
        <w:rPr>
          <w:rFonts w:ascii="Futura Lt BT" w:hAnsi="Futura Lt BT" w:cs="Courier New"/>
          <w:sz w:val="24"/>
          <w:szCs w:val="24"/>
          <w:lang w:val="es-MX"/>
        </w:rPr>
        <w:t>513.1</w:t>
      </w:r>
      <w:r w:rsidR="00E22F00" w:rsidRPr="00EF4E0E">
        <w:rPr>
          <w:rFonts w:ascii="Futura Lt BT" w:hAnsi="Futura Lt BT" w:cs="Courier New"/>
          <w:sz w:val="24"/>
          <w:szCs w:val="24"/>
          <w:lang w:val="es-MX"/>
        </w:rPr>
        <w:t xml:space="preserve"> millones</w:t>
      </w:r>
      <w:r w:rsidR="00533429" w:rsidRPr="00EF4E0E">
        <w:rPr>
          <w:rFonts w:ascii="Futura Lt BT" w:hAnsi="Futura Lt BT" w:cs="Courier New"/>
          <w:sz w:val="24"/>
          <w:szCs w:val="24"/>
          <w:lang w:val="es-MX"/>
        </w:rPr>
        <w:t xml:space="preserve"> de dólares</w:t>
      </w:r>
      <w:r w:rsidR="00E22F00" w:rsidRPr="00EF4E0E">
        <w:rPr>
          <w:rFonts w:ascii="Futura Lt BT" w:hAnsi="Futura Lt BT" w:cs="Courier New"/>
          <w:sz w:val="24"/>
          <w:szCs w:val="24"/>
          <w:lang w:val="es-MX"/>
        </w:rPr>
        <w:t xml:space="preserve">, </w:t>
      </w:r>
      <w:r w:rsidR="00854A0E" w:rsidRPr="00EF4E0E">
        <w:rPr>
          <w:rFonts w:ascii="Futura Lt BT" w:hAnsi="Futura Lt BT" w:cs="Courier New"/>
          <w:sz w:val="24"/>
          <w:szCs w:val="24"/>
          <w:lang w:val="es-MX"/>
        </w:rPr>
        <w:t xml:space="preserve">para </w:t>
      </w:r>
      <w:r w:rsidR="00E22F00" w:rsidRPr="00EF4E0E">
        <w:rPr>
          <w:rFonts w:ascii="Futura Lt BT" w:hAnsi="Futura Lt BT" w:cs="Courier New"/>
          <w:sz w:val="24"/>
          <w:szCs w:val="24"/>
          <w:lang w:val="es-MX"/>
        </w:rPr>
        <w:t>un aumento de 2</w:t>
      </w:r>
      <w:r w:rsidR="00C05D8C" w:rsidRPr="00EF4E0E">
        <w:rPr>
          <w:rFonts w:ascii="Futura Lt BT" w:hAnsi="Futura Lt BT" w:cs="Courier New"/>
          <w:sz w:val="24"/>
          <w:szCs w:val="24"/>
          <w:lang w:val="es-MX"/>
        </w:rPr>
        <w:t>4</w:t>
      </w:r>
      <w:r w:rsidR="00A35F3B" w:rsidRPr="00EF4E0E">
        <w:rPr>
          <w:rFonts w:ascii="Futura Lt BT" w:hAnsi="Futura Lt BT" w:cs="Courier New"/>
          <w:sz w:val="24"/>
          <w:szCs w:val="24"/>
          <w:lang w:val="es-MX"/>
        </w:rPr>
        <w:t>.8</w:t>
      </w:r>
      <w:r w:rsidR="00E22F00" w:rsidRPr="00EF4E0E">
        <w:rPr>
          <w:rFonts w:ascii="Futura Lt BT" w:hAnsi="Futura Lt BT" w:cs="Courier New"/>
          <w:sz w:val="24"/>
          <w:szCs w:val="24"/>
          <w:lang w:val="es-MX"/>
        </w:rPr>
        <w:t xml:space="preserve"> por ciento, con respecto al mismo per</w:t>
      </w:r>
      <w:r w:rsidR="00CA7029" w:rsidRPr="00EF4E0E">
        <w:rPr>
          <w:rFonts w:ascii="Futura Lt BT" w:hAnsi="Futura Lt BT" w:cs="Courier New"/>
          <w:sz w:val="24"/>
          <w:szCs w:val="24"/>
          <w:lang w:val="es-MX"/>
        </w:rPr>
        <w:t>í</w:t>
      </w:r>
      <w:r w:rsidR="00E22F00" w:rsidRPr="00EF4E0E">
        <w:rPr>
          <w:rFonts w:ascii="Futura Lt BT" w:hAnsi="Futura Lt BT" w:cs="Courier New"/>
          <w:sz w:val="24"/>
          <w:szCs w:val="24"/>
          <w:lang w:val="es-MX"/>
        </w:rPr>
        <w:t>odo del año pasado.</w:t>
      </w:r>
    </w:p>
    <w:bookmarkEnd w:id="3"/>
    <w:p w:rsidR="00876708" w:rsidRPr="00317203" w:rsidRDefault="00876708" w:rsidP="00F6744B">
      <w:pPr>
        <w:spacing w:after="0" w:line="276" w:lineRule="auto"/>
        <w:jc w:val="both"/>
        <w:rPr>
          <w:rFonts w:ascii="Futura Lt BT" w:hAnsi="Futura Lt BT" w:cs="Courier New"/>
          <w:sz w:val="24"/>
          <w:szCs w:val="24"/>
          <w:lang w:val="es-MX"/>
        </w:rPr>
      </w:pPr>
    </w:p>
    <w:p w:rsidR="00F6744B" w:rsidRPr="00317203" w:rsidRDefault="00876708" w:rsidP="00F6744B">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Por su parte,</w:t>
      </w:r>
      <w:r w:rsidR="00000223" w:rsidRPr="00317203">
        <w:rPr>
          <w:rFonts w:ascii="Futura Lt BT" w:hAnsi="Futura Lt BT" w:cs="Courier New"/>
          <w:sz w:val="24"/>
          <w:szCs w:val="24"/>
          <w:lang w:val="es-MX"/>
        </w:rPr>
        <w:t xml:space="preserve"> </w:t>
      </w:r>
      <w:r w:rsidRPr="00317203">
        <w:rPr>
          <w:rFonts w:ascii="Futura Lt BT" w:hAnsi="Futura Lt BT" w:cs="Courier New"/>
          <w:sz w:val="24"/>
          <w:szCs w:val="24"/>
          <w:lang w:val="es-MX"/>
        </w:rPr>
        <w:t>l</w:t>
      </w:r>
      <w:r w:rsidR="00B17336" w:rsidRPr="00317203">
        <w:rPr>
          <w:rFonts w:ascii="Futura Lt BT" w:hAnsi="Futura Lt BT" w:cs="Courier New"/>
          <w:sz w:val="24"/>
          <w:szCs w:val="24"/>
          <w:lang w:val="es-MX"/>
        </w:rPr>
        <w:t xml:space="preserve">as remesas continuaron con su </w:t>
      </w:r>
      <w:r w:rsidR="009D2FED">
        <w:rPr>
          <w:rFonts w:ascii="Futura Lt BT" w:hAnsi="Futura Lt BT" w:cs="Courier New"/>
          <w:sz w:val="24"/>
          <w:szCs w:val="24"/>
          <w:lang w:val="es-MX"/>
        </w:rPr>
        <w:t>tendencia</w:t>
      </w:r>
      <w:r w:rsidR="00B17336" w:rsidRPr="00317203">
        <w:rPr>
          <w:rFonts w:ascii="Futura Lt BT" w:hAnsi="Futura Lt BT" w:cs="Courier New"/>
          <w:sz w:val="24"/>
          <w:szCs w:val="24"/>
          <w:lang w:val="es-MX"/>
        </w:rPr>
        <w:t xml:space="preserve"> creciente, al registrarse ingresos por 1,</w:t>
      </w:r>
      <w:r w:rsidR="001411A4" w:rsidRPr="00317203">
        <w:rPr>
          <w:rFonts w:ascii="Futura Lt BT" w:hAnsi="Futura Lt BT" w:cs="Courier New"/>
          <w:sz w:val="24"/>
          <w:szCs w:val="24"/>
          <w:lang w:val="es-MX"/>
        </w:rPr>
        <w:t>2</w:t>
      </w:r>
      <w:r w:rsidR="00B17336" w:rsidRPr="00317203">
        <w:rPr>
          <w:rFonts w:ascii="Futura Lt BT" w:hAnsi="Futura Lt BT" w:cs="Courier New"/>
          <w:sz w:val="24"/>
          <w:szCs w:val="24"/>
          <w:lang w:val="es-MX"/>
        </w:rPr>
        <w:t>1</w:t>
      </w:r>
      <w:r w:rsidR="001411A4" w:rsidRPr="00317203">
        <w:rPr>
          <w:rFonts w:ascii="Futura Lt BT" w:hAnsi="Futura Lt BT" w:cs="Courier New"/>
          <w:sz w:val="24"/>
          <w:szCs w:val="24"/>
          <w:lang w:val="es-MX"/>
        </w:rPr>
        <w:t>8</w:t>
      </w:r>
      <w:r w:rsidR="00B17336" w:rsidRPr="00317203">
        <w:rPr>
          <w:rFonts w:ascii="Futura Lt BT" w:hAnsi="Futura Lt BT" w:cs="Courier New"/>
          <w:sz w:val="24"/>
          <w:szCs w:val="24"/>
          <w:lang w:val="es-MX"/>
        </w:rPr>
        <w:t>.</w:t>
      </w:r>
      <w:r w:rsidR="001411A4" w:rsidRPr="00317203">
        <w:rPr>
          <w:rFonts w:ascii="Futura Lt BT" w:hAnsi="Futura Lt BT" w:cs="Courier New"/>
          <w:sz w:val="24"/>
          <w:szCs w:val="24"/>
          <w:lang w:val="es-MX"/>
        </w:rPr>
        <w:t>5</w:t>
      </w:r>
      <w:r w:rsidR="00B17336" w:rsidRPr="00317203">
        <w:rPr>
          <w:rFonts w:ascii="Futura Lt BT" w:hAnsi="Futura Lt BT" w:cs="Courier New"/>
          <w:sz w:val="24"/>
          <w:szCs w:val="24"/>
          <w:lang w:val="es-MX"/>
        </w:rPr>
        <w:t xml:space="preserve"> millones de dólares</w:t>
      </w:r>
      <w:r w:rsidR="009D2FED" w:rsidRPr="009D2FED">
        <w:rPr>
          <w:rFonts w:ascii="Futura Lt BT" w:hAnsi="Futura Lt BT" w:cs="Courier New"/>
          <w:sz w:val="24"/>
          <w:szCs w:val="24"/>
          <w:lang w:val="es-MX"/>
        </w:rPr>
        <w:t xml:space="preserve"> </w:t>
      </w:r>
      <w:r w:rsidR="009D2FED" w:rsidRPr="00317203">
        <w:rPr>
          <w:rFonts w:ascii="Futura Lt BT" w:hAnsi="Futura Lt BT" w:cs="Courier New"/>
          <w:sz w:val="24"/>
          <w:szCs w:val="24"/>
          <w:lang w:val="es-MX"/>
        </w:rPr>
        <w:t>en el trimestre</w:t>
      </w:r>
      <w:r w:rsidR="00B17336" w:rsidRPr="00317203">
        <w:rPr>
          <w:rFonts w:ascii="Futura Lt BT" w:hAnsi="Futura Lt BT" w:cs="Courier New"/>
          <w:sz w:val="24"/>
          <w:szCs w:val="24"/>
          <w:lang w:val="es-MX"/>
        </w:rPr>
        <w:t xml:space="preserve">, </w:t>
      </w:r>
      <w:r w:rsidR="009D2FED">
        <w:rPr>
          <w:rFonts w:ascii="Futura Lt BT" w:hAnsi="Futura Lt BT" w:cs="Courier New"/>
          <w:sz w:val="24"/>
          <w:szCs w:val="24"/>
          <w:lang w:val="es-MX"/>
        </w:rPr>
        <w:t>lo cual significó un crecimiento interanual de</w:t>
      </w:r>
      <w:r w:rsidR="00B17336" w:rsidRPr="00317203">
        <w:rPr>
          <w:rFonts w:ascii="Futura Lt BT" w:hAnsi="Futura Lt BT" w:cs="Courier New"/>
          <w:sz w:val="24"/>
          <w:szCs w:val="24"/>
          <w:lang w:val="es-MX"/>
        </w:rPr>
        <w:t xml:space="preserve"> 4</w:t>
      </w:r>
      <w:r w:rsidR="001411A4" w:rsidRPr="00317203">
        <w:rPr>
          <w:rFonts w:ascii="Futura Lt BT" w:hAnsi="Futura Lt BT" w:cs="Courier New"/>
          <w:sz w:val="24"/>
          <w:szCs w:val="24"/>
          <w:lang w:val="es-MX"/>
        </w:rPr>
        <w:t>1</w:t>
      </w:r>
      <w:r w:rsidR="00B17336" w:rsidRPr="00317203">
        <w:rPr>
          <w:rFonts w:ascii="Futura Lt BT" w:hAnsi="Futura Lt BT" w:cs="Courier New"/>
          <w:sz w:val="24"/>
          <w:szCs w:val="24"/>
          <w:lang w:val="es-MX"/>
        </w:rPr>
        <w:t>.</w:t>
      </w:r>
      <w:r w:rsidR="001411A4" w:rsidRPr="00317203">
        <w:rPr>
          <w:rFonts w:ascii="Futura Lt BT" w:hAnsi="Futura Lt BT" w:cs="Courier New"/>
          <w:sz w:val="24"/>
          <w:szCs w:val="24"/>
          <w:lang w:val="es-MX"/>
        </w:rPr>
        <w:t>3</w:t>
      </w:r>
      <w:r w:rsidR="00B17336" w:rsidRPr="00317203">
        <w:rPr>
          <w:rFonts w:ascii="Futura Lt BT" w:hAnsi="Futura Lt BT" w:cs="Courier New"/>
          <w:sz w:val="24"/>
          <w:szCs w:val="24"/>
          <w:lang w:val="es-MX"/>
        </w:rPr>
        <w:t xml:space="preserve"> por ciento</w:t>
      </w:r>
      <w:r w:rsidR="00192F52" w:rsidRPr="00317203">
        <w:rPr>
          <w:rFonts w:ascii="Futura Lt BT" w:hAnsi="Futura Lt BT" w:cs="Courier New"/>
          <w:sz w:val="24"/>
          <w:szCs w:val="24"/>
          <w:lang w:val="es-MX"/>
        </w:rPr>
        <w:t xml:space="preserve">; </w:t>
      </w:r>
      <w:r w:rsidR="009D2FED">
        <w:rPr>
          <w:rFonts w:ascii="Futura Lt BT" w:hAnsi="Futura Lt BT" w:cs="Courier New"/>
          <w:sz w:val="24"/>
          <w:szCs w:val="24"/>
          <w:lang w:val="es-MX"/>
        </w:rPr>
        <w:t>así, las remesas acumuladas a septiembre sumaron</w:t>
      </w:r>
      <w:r w:rsidRPr="00317203">
        <w:rPr>
          <w:rFonts w:ascii="Futura Lt BT" w:hAnsi="Futura Lt BT" w:cs="Courier New"/>
          <w:sz w:val="24"/>
          <w:szCs w:val="24"/>
          <w:lang w:val="es-MX"/>
        </w:rPr>
        <w:t xml:space="preserve"> </w:t>
      </w:r>
      <w:r w:rsidR="001411A4" w:rsidRPr="00317203">
        <w:rPr>
          <w:rFonts w:ascii="Futura Lt BT" w:hAnsi="Futura Lt BT" w:cs="Courier New"/>
          <w:sz w:val="24"/>
          <w:szCs w:val="24"/>
          <w:lang w:val="es-MX"/>
        </w:rPr>
        <w:t>3</w:t>
      </w:r>
      <w:r w:rsidRPr="00317203">
        <w:rPr>
          <w:rFonts w:ascii="Futura Lt BT" w:hAnsi="Futura Lt BT" w:cs="Courier New"/>
          <w:sz w:val="24"/>
          <w:szCs w:val="24"/>
          <w:lang w:val="es-MX"/>
        </w:rPr>
        <w:t>,</w:t>
      </w:r>
      <w:r w:rsidR="001411A4" w:rsidRPr="00317203">
        <w:rPr>
          <w:rFonts w:ascii="Futura Lt BT" w:hAnsi="Futura Lt BT" w:cs="Courier New"/>
          <w:sz w:val="24"/>
          <w:szCs w:val="24"/>
          <w:lang w:val="es-MX"/>
        </w:rPr>
        <w:t>433</w:t>
      </w:r>
      <w:r w:rsidRPr="00317203">
        <w:rPr>
          <w:rFonts w:ascii="Futura Lt BT" w:hAnsi="Futura Lt BT" w:cs="Courier New"/>
          <w:sz w:val="24"/>
          <w:szCs w:val="24"/>
          <w:lang w:val="es-MX"/>
        </w:rPr>
        <w:t>.</w:t>
      </w:r>
      <w:r w:rsidR="001411A4" w:rsidRPr="00317203">
        <w:rPr>
          <w:rFonts w:ascii="Futura Lt BT" w:hAnsi="Futura Lt BT" w:cs="Courier New"/>
          <w:sz w:val="24"/>
          <w:szCs w:val="24"/>
          <w:lang w:val="es-MX"/>
        </w:rPr>
        <w:t>5</w:t>
      </w:r>
      <w:r w:rsidRPr="00317203">
        <w:rPr>
          <w:rFonts w:ascii="Futura Lt BT" w:hAnsi="Futura Lt BT" w:cs="Courier New"/>
          <w:sz w:val="24"/>
          <w:szCs w:val="24"/>
          <w:lang w:val="es-MX"/>
        </w:rPr>
        <w:t xml:space="preserve"> millones</w:t>
      </w:r>
      <w:r w:rsidR="009D2FED">
        <w:rPr>
          <w:rFonts w:ascii="Futura Lt BT" w:hAnsi="Futura Lt BT" w:cs="Courier New"/>
          <w:sz w:val="24"/>
          <w:szCs w:val="24"/>
          <w:lang w:val="es-MX"/>
        </w:rPr>
        <w:t>,</w:t>
      </w:r>
      <w:r w:rsidRPr="00317203">
        <w:rPr>
          <w:rFonts w:ascii="Futura Lt BT" w:hAnsi="Futura Lt BT" w:cs="Courier New"/>
          <w:sz w:val="24"/>
          <w:szCs w:val="24"/>
          <w:lang w:val="es-MX"/>
        </w:rPr>
        <w:t xml:space="preserve"> </w:t>
      </w:r>
      <w:r w:rsidR="00192F52" w:rsidRPr="00317203">
        <w:rPr>
          <w:rFonts w:ascii="Futura Lt BT" w:hAnsi="Futura Lt BT" w:cs="Courier New"/>
          <w:sz w:val="24"/>
          <w:szCs w:val="24"/>
          <w:lang w:val="es-MX"/>
        </w:rPr>
        <w:t xml:space="preserve">para un aumento de </w:t>
      </w:r>
      <w:r w:rsidRPr="00317203">
        <w:rPr>
          <w:rFonts w:ascii="Futura Lt BT" w:hAnsi="Futura Lt BT" w:cs="Courier New"/>
          <w:sz w:val="24"/>
          <w:szCs w:val="24"/>
          <w:lang w:val="es-MX"/>
        </w:rPr>
        <w:t>5</w:t>
      </w:r>
      <w:r w:rsidR="001411A4" w:rsidRPr="00317203">
        <w:rPr>
          <w:rFonts w:ascii="Futura Lt BT" w:hAnsi="Futura Lt BT" w:cs="Courier New"/>
          <w:sz w:val="24"/>
          <w:szCs w:val="24"/>
          <w:lang w:val="es-MX"/>
        </w:rPr>
        <w:t>2</w:t>
      </w:r>
      <w:r w:rsidRPr="00317203">
        <w:rPr>
          <w:rFonts w:ascii="Futura Lt BT" w:hAnsi="Futura Lt BT" w:cs="Courier New"/>
          <w:sz w:val="24"/>
          <w:szCs w:val="24"/>
          <w:lang w:val="es-MX"/>
        </w:rPr>
        <w:t>.</w:t>
      </w:r>
      <w:r w:rsidR="001411A4" w:rsidRPr="00317203">
        <w:rPr>
          <w:rFonts w:ascii="Futura Lt BT" w:hAnsi="Futura Lt BT" w:cs="Courier New"/>
          <w:sz w:val="24"/>
          <w:szCs w:val="24"/>
          <w:lang w:val="es-MX"/>
        </w:rPr>
        <w:t>0</w:t>
      </w:r>
      <w:r w:rsidR="00192F52" w:rsidRPr="00317203">
        <w:rPr>
          <w:rFonts w:ascii="Futura Lt BT" w:hAnsi="Futura Lt BT" w:cs="Courier New"/>
          <w:sz w:val="24"/>
          <w:szCs w:val="24"/>
          <w:lang w:val="es-MX"/>
        </w:rPr>
        <w:t xml:space="preserve"> por ciento.</w:t>
      </w:r>
    </w:p>
    <w:p w:rsidR="00B17336" w:rsidRPr="00317203" w:rsidRDefault="00B17336" w:rsidP="00F6744B">
      <w:pPr>
        <w:spacing w:after="0" w:line="276" w:lineRule="auto"/>
        <w:jc w:val="both"/>
        <w:rPr>
          <w:rFonts w:ascii="Futura Lt BT" w:hAnsi="Futura Lt BT" w:cs="Courier New"/>
          <w:sz w:val="24"/>
          <w:szCs w:val="24"/>
          <w:lang w:val="es-MX"/>
        </w:rPr>
      </w:pPr>
    </w:p>
    <w:p w:rsidR="002C6677" w:rsidRPr="00317203" w:rsidRDefault="00B17336" w:rsidP="00F6744B">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En</w:t>
      </w:r>
      <w:r w:rsidR="008A74AE" w:rsidRPr="00317203">
        <w:rPr>
          <w:rFonts w:ascii="Futura Lt BT" w:hAnsi="Futura Lt BT" w:cs="Courier New"/>
          <w:sz w:val="24"/>
          <w:szCs w:val="24"/>
          <w:lang w:val="es-MX"/>
        </w:rPr>
        <w:t>tre</w:t>
      </w:r>
      <w:r w:rsidRPr="00317203">
        <w:rPr>
          <w:rFonts w:ascii="Futura Lt BT" w:hAnsi="Futura Lt BT" w:cs="Courier New"/>
          <w:sz w:val="24"/>
          <w:szCs w:val="24"/>
          <w:lang w:val="es-MX"/>
        </w:rPr>
        <w:t xml:space="preserve"> los </w:t>
      </w:r>
      <w:r w:rsidR="001659C6">
        <w:rPr>
          <w:rFonts w:ascii="Futura Lt BT" w:hAnsi="Futura Lt BT" w:cs="Courier New"/>
          <w:sz w:val="24"/>
          <w:szCs w:val="24"/>
          <w:lang w:val="es-MX"/>
        </w:rPr>
        <w:t xml:space="preserve">principales </w:t>
      </w:r>
      <w:r w:rsidR="00996939">
        <w:rPr>
          <w:rFonts w:ascii="Futura Lt BT" w:hAnsi="Futura Lt BT" w:cs="Courier New"/>
          <w:sz w:val="24"/>
          <w:szCs w:val="24"/>
          <w:lang w:val="es-MX"/>
        </w:rPr>
        <w:t xml:space="preserve">flujos </w:t>
      </w:r>
      <w:r w:rsidRPr="00317203">
        <w:rPr>
          <w:rFonts w:ascii="Futura Lt BT" w:hAnsi="Futura Lt BT" w:cs="Courier New"/>
          <w:sz w:val="24"/>
          <w:szCs w:val="24"/>
          <w:lang w:val="es-MX"/>
        </w:rPr>
        <w:t xml:space="preserve">de capital y financieros </w:t>
      </w:r>
      <w:r w:rsidR="00996939">
        <w:rPr>
          <w:rFonts w:ascii="Futura Lt BT" w:hAnsi="Futura Lt BT" w:cs="Courier New"/>
          <w:sz w:val="24"/>
          <w:szCs w:val="24"/>
          <w:lang w:val="es-MX"/>
        </w:rPr>
        <w:t xml:space="preserve">registrados </w:t>
      </w:r>
      <w:r w:rsidRPr="00317203">
        <w:rPr>
          <w:rFonts w:ascii="Futura Lt BT" w:hAnsi="Futura Lt BT" w:cs="Courier New"/>
          <w:sz w:val="24"/>
          <w:szCs w:val="24"/>
          <w:lang w:val="es-MX"/>
        </w:rPr>
        <w:t>en la balanza de pagos</w:t>
      </w:r>
      <w:r w:rsidR="002979FC" w:rsidRPr="002979FC">
        <w:rPr>
          <w:rFonts w:ascii="Futura Lt BT" w:hAnsi="Futura Lt BT" w:cs="Courier New"/>
          <w:sz w:val="24"/>
          <w:szCs w:val="24"/>
          <w:lang w:val="es-MX"/>
        </w:rPr>
        <w:t xml:space="preserve"> </w:t>
      </w:r>
      <w:r w:rsidR="002979FC">
        <w:rPr>
          <w:rFonts w:ascii="Futura Lt BT" w:hAnsi="Futura Lt BT" w:cs="Courier New"/>
          <w:sz w:val="24"/>
          <w:szCs w:val="24"/>
          <w:lang w:val="es-MX"/>
        </w:rPr>
        <w:t>d</w:t>
      </w:r>
      <w:r w:rsidR="002979FC" w:rsidRPr="00317203">
        <w:rPr>
          <w:rFonts w:ascii="Futura Lt BT" w:hAnsi="Futura Lt BT" w:cs="Courier New"/>
          <w:sz w:val="24"/>
          <w:szCs w:val="24"/>
          <w:lang w:val="es-MX"/>
        </w:rPr>
        <w:t>el trimestre</w:t>
      </w:r>
      <w:r w:rsidRPr="00317203">
        <w:rPr>
          <w:rFonts w:ascii="Futura Lt BT" w:hAnsi="Futura Lt BT" w:cs="Courier New"/>
          <w:sz w:val="24"/>
          <w:szCs w:val="24"/>
          <w:lang w:val="es-MX"/>
        </w:rPr>
        <w:t xml:space="preserve">, </w:t>
      </w:r>
      <w:r w:rsidR="002979FC">
        <w:rPr>
          <w:rFonts w:ascii="Futura Lt BT" w:hAnsi="Futura Lt BT" w:cs="Courier New"/>
          <w:sz w:val="24"/>
          <w:szCs w:val="24"/>
          <w:lang w:val="es-MX"/>
        </w:rPr>
        <w:t xml:space="preserve">se </w:t>
      </w:r>
      <w:r w:rsidR="00996939">
        <w:rPr>
          <w:rFonts w:ascii="Futura Lt BT" w:hAnsi="Futura Lt BT" w:cs="Courier New"/>
          <w:sz w:val="24"/>
          <w:szCs w:val="24"/>
          <w:lang w:val="es-MX"/>
        </w:rPr>
        <w:t>destac</w:t>
      </w:r>
      <w:r w:rsidR="002979FC">
        <w:rPr>
          <w:rFonts w:ascii="Futura Lt BT" w:hAnsi="Futura Lt BT" w:cs="Courier New"/>
          <w:sz w:val="24"/>
          <w:szCs w:val="24"/>
          <w:lang w:val="es-MX"/>
        </w:rPr>
        <w:t>ó</w:t>
      </w:r>
      <w:r w:rsidR="00996939">
        <w:rPr>
          <w:rFonts w:ascii="Futura Lt BT" w:hAnsi="Futura Lt BT" w:cs="Courier New"/>
          <w:sz w:val="24"/>
          <w:szCs w:val="24"/>
          <w:lang w:val="es-MX"/>
        </w:rPr>
        <w:t xml:space="preserve"> </w:t>
      </w:r>
      <w:r w:rsidR="008A74AE" w:rsidRPr="00317203">
        <w:rPr>
          <w:rFonts w:ascii="Futura Lt BT" w:hAnsi="Futura Lt BT" w:cs="Courier New"/>
          <w:sz w:val="24"/>
          <w:szCs w:val="24"/>
          <w:lang w:val="es-MX"/>
        </w:rPr>
        <w:t xml:space="preserve">el </w:t>
      </w:r>
      <w:r w:rsidRPr="00317203">
        <w:rPr>
          <w:rFonts w:ascii="Futura Lt BT" w:hAnsi="Futura Lt BT" w:cs="Courier New"/>
          <w:sz w:val="24"/>
          <w:szCs w:val="24"/>
          <w:lang w:val="es-MX"/>
        </w:rPr>
        <w:t xml:space="preserve">ingreso </w:t>
      </w:r>
      <w:r w:rsidR="008A74AE" w:rsidRPr="00317203">
        <w:rPr>
          <w:rFonts w:ascii="Futura Lt BT" w:hAnsi="Futura Lt BT" w:cs="Courier New"/>
          <w:sz w:val="24"/>
          <w:szCs w:val="24"/>
          <w:lang w:val="es-MX"/>
        </w:rPr>
        <w:t xml:space="preserve">bruto de inversión extranjera directa (IED) </w:t>
      </w:r>
      <w:r w:rsidR="00996939">
        <w:rPr>
          <w:rFonts w:ascii="Futura Lt BT" w:hAnsi="Futura Lt BT" w:cs="Courier New"/>
          <w:sz w:val="24"/>
          <w:szCs w:val="24"/>
          <w:lang w:val="es-MX"/>
        </w:rPr>
        <w:t xml:space="preserve">que resultó en </w:t>
      </w:r>
      <w:r w:rsidR="00544357" w:rsidRPr="00317203">
        <w:rPr>
          <w:rFonts w:ascii="Futura Lt BT" w:hAnsi="Futura Lt BT" w:cs="Courier New"/>
          <w:sz w:val="24"/>
          <w:szCs w:val="24"/>
          <w:lang w:val="es-MX"/>
        </w:rPr>
        <w:t>572.8</w:t>
      </w:r>
      <w:r w:rsidR="008A74AE" w:rsidRPr="00317203">
        <w:rPr>
          <w:rFonts w:ascii="Futura Lt BT" w:hAnsi="Futura Lt BT" w:cs="Courier New"/>
          <w:sz w:val="24"/>
          <w:szCs w:val="24"/>
          <w:lang w:val="es-MX"/>
        </w:rPr>
        <w:t xml:space="preserve"> millones de dólares, </w:t>
      </w:r>
      <w:r w:rsidR="00996939">
        <w:rPr>
          <w:rFonts w:ascii="Futura Lt BT" w:hAnsi="Futura Lt BT" w:cs="Courier New"/>
          <w:sz w:val="24"/>
          <w:szCs w:val="24"/>
          <w:lang w:val="es-MX"/>
        </w:rPr>
        <w:t xml:space="preserve">para </w:t>
      </w:r>
      <w:bookmarkStart w:id="4" w:name="_Hlk156917338"/>
      <w:r w:rsidR="004809E3">
        <w:rPr>
          <w:rFonts w:ascii="Futura Lt BT" w:hAnsi="Futura Lt BT" w:cs="Courier New"/>
          <w:sz w:val="24"/>
          <w:szCs w:val="24"/>
          <w:lang w:val="es-MX"/>
        </w:rPr>
        <w:t>una disminución de 4.0</w:t>
      </w:r>
      <w:r w:rsidR="009D2FED">
        <w:rPr>
          <w:rFonts w:ascii="Futura Lt BT" w:hAnsi="Futura Lt BT" w:cs="Courier New"/>
          <w:sz w:val="24"/>
          <w:szCs w:val="24"/>
          <w:lang w:val="es-MX"/>
        </w:rPr>
        <w:t xml:space="preserve"> por ciento</w:t>
      </w:r>
      <w:r w:rsidR="008A74AE" w:rsidRPr="00317203">
        <w:rPr>
          <w:rFonts w:ascii="Futura Lt BT" w:hAnsi="Futura Lt BT" w:cs="Courier New"/>
          <w:sz w:val="24"/>
          <w:szCs w:val="24"/>
          <w:lang w:val="es-MX"/>
        </w:rPr>
        <w:t xml:space="preserve"> con respecto a igual per</w:t>
      </w:r>
      <w:r w:rsidR="00CA7029" w:rsidRPr="00317203">
        <w:rPr>
          <w:rFonts w:ascii="Futura Lt BT" w:hAnsi="Futura Lt BT" w:cs="Courier New"/>
          <w:sz w:val="24"/>
          <w:szCs w:val="24"/>
          <w:lang w:val="es-MX"/>
        </w:rPr>
        <w:t>í</w:t>
      </w:r>
      <w:r w:rsidR="008A74AE" w:rsidRPr="00317203">
        <w:rPr>
          <w:rFonts w:ascii="Futura Lt BT" w:hAnsi="Futura Lt BT" w:cs="Courier New"/>
          <w:sz w:val="24"/>
          <w:szCs w:val="24"/>
          <w:lang w:val="es-MX"/>
        </w:rPr>
        <w:t>odo de 2022 (US$</w:t>
      </w:r>
      <w:r w:rsidR="004809E3">
        <w:rPr>
          <w:rFonts w:ascii="Futura Lt BT" w:hAnsi="Futura Lt BT" w:cs="Courier New"/>
          <w:sz w:val="24"/>
          <w:szCs w:val="24"/>
          <w:lang w:val="es-MX"/>
        </w:rPr>
        <w:t>596.6</w:t>
      </w:r>
      <w:r w:rsidR="008A74AE" w:rsidRPr="00317203">
        <w:rPr>
          <w:rFonts w:ascii="Futura Lt BT" w:hAnsi="Futura Lt BT" w:cs="Courier New"/>
          <w:sz w:val="24"/>
          <w:szCs w:val="24"/>
          <w:lang w:val="es-MX"/>
        </w:rPr>
        <w:t xml:space="preserve"> millones)</w:t>
      </w:r>
      <w:r w:rsidR="00192F52" w:rsidRPr="00317203">
        <w:rPr>
          <w:rFonts w:ascii="Futura Lt BT" w:hAnsi="Futura Lt BT" w:cs="Courier New"/>
          <w:sz w:val="24"/>
          <w:szCs w:val="24"/>
          <w:lang w:val="es-MX"/>
        </w:rPr>
        <w:t xml:space="preserve">; </w:t>
      </w:r>
      <w:bookmarkEnd w:id="4"/>
      <w:r w:rsidR="001659C6">
        <w:rPr>
          <w:rFonts w:ascii="Futura Lt BT" w:hAnsi="Futura Lt BT" w:cs="Courier New"/>
          <w:sz w:val="24"/>
          <w:szCs w:val="24"/>
          <w:lang w:val="es-MX"/>
        </w:rPr>
        <w:t xml:space="preserve">no obstante, </w:t>
      </w:r>
      <w:r w:rsidR="009D2FED">
        <w:rPr>
          <w:rFonts w:ascii="Futura Lt BT" w:hAnsi="Futura Lt BT" w:cs="Courier New"/>
          <w:sz w:val="24"/>
          <w:szCs w:val="24"/>
          <w:lang w:val="es-MX"/>
        </w:rPr>
        <w:t>los ingresos de IED</w:t>
      </w:r>
      <w:r w:rsidR="00192F52" w:rsidRPr="00317203">
        <w:rPr>
          <w:rFonts w:ascii="Futura Lt BT" w:hAnsi="Futura Lt BT" w:cs="Courier New"/>
          <w:sz w:val="24"/>
          <w:szCs w:val="24"/>
          <w:lang w:val="es-MX"/>
        </w:rPr>
        <w:t xml:space="preserve"> </w:t>
      </w:r>
      <w:r w:rsidR="001659C6">
        <w:rPr>
          <w:rFonts w:ascii="Futura Lt BT" w:hAnsi="Futura Lt BT" w:cs="Courier New"/>
          <w:sz w:val="24"/>
          <w:szCs w:val="24"/>
          <w:lang w:val="es-MX"/>
        </w:rPr>
        <w:t>acumulado</w:t>
      </w:r>
      <w:r w:rsidR="008437F3">
        <w:rPr>
          <w:rFonts w:ascii="Futura Lt BT" w:hAnsi="Futura Lt BT" w:cs="Courier New"/>
          <w:sz w:val="24"/>
          <w:szCs w:val="24"/>
          <w:lang w:val="es-MX"/>
        </w:rPr>
        <w:t>s</w:t>
      </w:r>
      <w:r w:rsidR="001659C6">
        <w:rPr>
          <w:rFonts w:ascii="Futura Lt BT" w:hAnsi="Futura Lt BT" w:cs="Courier New"/>
          <w:sz w:val="24"/>
          <w:szCs w:val="24"/>
          <w:lang w:val="es-MX"/>
        </w:rPr>
        <w:t xml:space="preserve"> a septiembre, </w:t>
      </w:r>
      <w:r w:rsidR="00996939">
        <w:rPr>
          <w:rFonts w:ascii="Futura Lt BT" w:hAnsi="Futura Lt BT" w:cs="Courier New"/>
          <w:sz w:val="24"/>
          <w:szCs w:val="24"/>
          <w:lang w:val="es-MX"/>
        </w:rPr>
        <w:t xml:space="preserve">que ascienden a </w:t>
      </w:r>
      <w:r w:rsidR="00544357" w:rsidRPr="00317203">
        <w:rPr>
          <w:rFonts w:ascii="Futura Lt BT" w:hAnsi="Futura Lt BT" w:cs="Courier New"/>
          <w:sz w:val="24"/>
          <w:szCs w:val="24"/>
          <w:lang w:val="es-MX"/>
        </w:rPr>
        <w:t>2,071.4</w:t>
      </w:r>
      <w:r w:rsidR="002C6677" w:rsidRPr="00317203">
        <w:rPr>
          <w:rFonts w:ascii="Futura Lt BT" w:hAnsi="Futura Lt BT" w:cs="Courier New"/>
          <w:sz w:val="24"/>
          <w:szCs w:val="24"/>
          <w:lang w:val="es-MX"/>
        </w:rPr>
        <w:t xml:space="preserve"> millones de dólares</w:t>
      </w:r>
      <w:r w:rsidR="00192F52" w:rsidRPr="00317203">
        <w:rPr>
          <w:rFonts w:ascii="Futura Lt BT" w:hAnsi="Futura Lt BT" w:cs="Courier New"/>
          <w:sz w:val="24"/>
          <w:szCs w:val="24"/>
          <w:lang w:val="es-MX"/>
        </w:rPr>
        <w:t xml:space="preserve">, </w:t>
      </w:r>
      <w:r w:rsidR="001659C6">
        <w:rPr>
          <w:rFonts w:ascii="Futura Lt BT" w:hAnsi="Futura Lt BT" w:cs="Courier New"/>
          <w:sz w:val="24"/>
          <w:szCs w:val="24"/>
          <w:lang w:val="es-MX"/>
        </w:rPr>
        <w:t>registra</w:t>
      </w:r>
      <w:r w:rsidR="00996939">
        <w:rPr>
          <w:rFonts w:ascii="Futura Lt BT" w:hAnsi="Futura Lt BT" w:cs="Courier New"/>
          <w:sz w:val="24"/>
          <w:szCs w:val="24"/>
          <w:lang w:val="es-MX"/>
        </w:rPr>
        <w:t xml:space="preserve">ron </w:t>
      </w:r>
      <w:r w:rsidR="00192F52" w:rsidRPr="00317203">
        <w:rPr>
          <w:rFonts w:ascii="Futura Lt BT" w:hAnsi="Futura Lt BT" w:cs="Courier New"/>
          <w:sz w:val="24"/>
          <w:szCs w:val="24"/>
          <w:lang w:val="es-MX"/>
        </w:rPr>
        <w:t xml:space="preserve">un </w:t>
      </w:r>
      <w:r w:rsidR="001659C6">
        <w:rPr>
          <w:rFonts w:ascii="Futura Lt BT" w:hAnsi="Futura Lt BT" w:cs="Courier New"/>
          <w:sz w:val="24"/>
          <w:szCs w:val="24"/>
          <w:lang w:val="es-MX"/>
        </w:rPr>
        <w:t xml:space="preserve">incremento </w:t>
      </w:r>
      <w:r w:rsidR="009D2FED">
        <w:rPr>
          <w:rFonts w:ascii="Futura Lt BT" w:hAnsi="Futura Lt BT" w:cs="Courier New"/>
          <w:sz w:val="24"/>
          <w:szCs w:val="24"/>
          <w:lang w:val="es-MX"/>
        </w:rPr>
        <w:t xml:space="preserve">interanual </w:t>
      </w:r>
      <w:r w:rsidR="00192F52" w:rsidRPr="00317203">
        <w:rPr>
          <w:rFonts w:ascii="Futura Lt BT" w:hAnsi="Futura Lt BT" w:cs="Courier New"/>
          <w:sz w:val="24"/>
          <w:szCs w:val="24"/>
          <w:lang w:val="es-MX"/>
        </w:rPr>
        <w:t xml:space="preserve">de </w:t>
      </w:r>
      <w:r w:rsidR="004809E3">
        <w:rPr>
          <w:rFonts w:ascii="Futura Lt BT" w:hAnsi="Futura Lt BT" w:cs="Courier New"/>
          <w:sz w:val="24"/>
          <w:szCs w:val="24"/>
          <w:lang w:val="es-MX"/>
        </w:rPr>
        <w:t>20.5</w:t>
      </w:r>
      <w:r w:rsidR="00544357" w:rsidRPr="00317203">
        <w:rPr>
          <w:rFonts w:ascii="Futura Lt BT" w:hAnsi="Futura Lt BT" w:cs="Courier New"/>
          <w:sz w:val="24"/>
          <w:szCs w:val="24"/>
          <w:lang w:val="es-MX"/>
        </w:rPr>
        <w:t xml:space="preserve"> </w:t>
      </w:r>
      <w:r w:rsidR="00192F52" w:rsidRPr="00317203">
        <w:rPr>
          <w:rFonts w:ascii="Futura Lt BT" w:hAnsi="Futura Lt BT" w:cs="Courier New"/>
          <w:sz w:val="24"/>
          <w:szCs w:val="24"/>
          <w:lang w:val="es-MX"/>
        </w:rPr>
        <w:t>por ciento</w:t>
      </w:r>
      <w:r w:rsidR="002C6677" w:rsidRPr="00317203">
        <w:rPr>
          <w:rFonts w:ascii="Futura Lt BT" w:hAnsi="Futura Lt BT" w:cs="Courier New"/>
          <w:sz w:val="24"/>
          <w:szCs w:val="24"/>
          <w:lang w:val="es-MX"/>
        </w:rPr>
        <w:t>. Adicionalmente</w:t>
      </w:r>
      <w:r w:rsidR="008A74AE" w:rsidRPr="00317203">
        <w:rPr>
          <w:rFonts w:ascii="Futura Lt BT" w:hAnsi="Futura Lt BT" w:cs="Courier New"/>
          <w:sz w:val="24"/>
          <w:szCs w:val="24"/>
          <w:lang w:val="es-MX"/>
        </w:rPr>
        <w:t xml:space="preserve">, la economía percibió desembolsos netos de </w:t>
      </w:r>
      <w:r w:rsidR="005E5ED7" w:rsidRPr="00317203">
        <w:rPr>
          <w:rFonts w:ascii="Futura Lt BT" w:hAnsi="Futura Lt BT" w:cs="Courier New"/>
          <w:sz w:val="24"/>
          <w:szCs w:val="24"/>
          <w:lang w:val="es-MX"/>
        </w:rPr>
        <w:t>1</w:t>
      </w:r>
      <w:r w:rsidR="00544357" w:rsidRPr="00317203">
        <w:rPr>
          <w:rFonts w:ascii="Futura Lt BT" w:hAnsi="Futura Lt BT" w:cs="Courier New"/>
          <w:sz w:val="24"/>
          <w:szCs w:val="24"/>
          <w:lang w:val="es-MX"/>
        </w:rPr>
        <w:t>5</w:t>
      </w:r>
      <w:r w:rsidR="005E5ED7" w:rsidRPr="00317203">
        <w:rPr>
          <w:rFonts w:ascii="Futura Lt BT" w:hAnsi="Futura Lt BT" w:cs="Courier New"/>
          <w:sz w:val="24"/>
          <w:szCs w:val="24"/>
          <w:lang w:val="es-MX"/>
        </w:rPr>
        <w:t>4</w:t>
      </w:r>
      <w:r w:rsidR="00544357" w:rsidRPr="00317203">
        <w:rPr>
          <w:rFonts w:ascii="Futura Lt BT" w:hAnsi="Futura Lt BT" w:cs="Courier New"/>
          <w:sz w:val="24"/>
          <w:szCs w:val="24"/>
          <w:lang w:val="es-MX"/>
        </w:rPr>
        <w:t>.5</w:t>
      </w:r>
      <w:r w:rsidR="008A74AE" w:rsidRPr="00317203">
        <w:rPr>
          <w:rFonts w:ascii="Futura Lt BT" w:hAnsi="Futura Lt BT" w:cs="Courier New"/>
          <w:sz w:val="24"/>
          <w:szCs w:val="24"/>
          <w:lang w:val="es-MX"/>
        </w:rPr>
        <w:t xml:space="preserve"> millones de dólares </w:t>
      </w:r>
      <w:r w:rsidR="00192F52" w:rsidRPr="00317203">
        <w:rPr>
          <w:rFonts w:ascii="Futura Lt BT" w:hAnsi="Futura Lt BT" w:cs="Courier New"/>
          <w:sz w:val="24"/>
          <w:szCs w:val="24"/>
          <w:lang w:val="es-MX"/>
        </w:rPr>
        <w:t xml:space="preserve">en </w:t>
      </w:r>
      <w:r w:rsidR="005E5ED7" w:rsidRPr="00317203">
        <w:rPr>
          <w:rFonts w:ascii="Futura Lt BT" w:hAnsi="Futura Lt BT" w:cs="Courier New"/>
          <w:sz w:val="24"/>
          <w:szCs w:val="24"/>
          <w:lang w:val="es-MX"/>
        </w:rPr>
        <w:t>el tercer</w:t>
      </w:r>
      <w:r w:rsidR="00192F52" w:rsidRPr="00317203">
        <w:rPr>
          <w:rFonts w:ascii="Futura Lt BT" w:hAnsi="Futura Lt BT" w:cs="Courier New"/>
          <w:sz w:val="24"/>
          <w:szCs w:val="24"/>
          <w:lang w:val="es-MX"/>
        </w:rPr>
        <w:t xml:space="preserve"> trimestre </w:t>
      </w:r>
      <w:r w:rsidR="008A74AE" w:rsidRPr="00317203">
        <w:rPr>
          <w:rFonts w:ascii="Futura Lt BT" w:hAnsi="Futura Lt BT" w:cs="Courier New"/>
          <w:sz w:val="24"/>
          <w:szCs w:val="24"/>
          <w:lang w:val="es-MX"/>
        </w:rPr>
        <w:t>(US$</w:t>
      </w:r>
      <w:r w:rsidR="005E5ED7" w:rsidRPr="00317203">
        <w:rPr>
          <w:rFonts w:ascii="Futura Lt BT" w:hAnsi="Futura Lt BT" w:cs="Courier New"/>
          <w:sz w:val="24"/>
          <w:szCs w:val="24"/>
          <w:lang w:val="es-MX"/>
        </w:rPr>
        <w:t>27</w:t>
      </w:r>
      <w:r w:rsidR="008A74AE" w:rsidRPr="00317203">
        <w:rPr>
          <w:rFonts w:ascii="Futura Lt BT" w:hAnsi="Futura Lt BT" w:cs="Courier New"/>
          <w:sz w:val="24"/>
          <w:szCs w:val="24"/>
          <w:lang w:val="es-MX"/>
        </w:rPr>
        <w:t>.</w:t>
      </w:r>
      <w:r w:rsidR="005E5ED7" w:rsidRPr="00317203">
        <w:rPr>
          <w:rFonts w:ascii="Futura Lt BT" w:hAnsi="Futura Lt BT" w:cs="Courier New"/>
          <w:sz w:val="24"/>
          <w:szCs w:val="24"/>
          <w:lang w:val="es-MX"/>
        </w:rPr>
        <w:t>2</w:t>
      </w:r>
      <w:r w:rsidR="008A74AE" w:rsidRPr="00317203">
        <w:rPr>
          <w:rFonts w:ascii="Futura Lt BT" w:hAnsi="Futura Lt BT" w:cs="Courier New"/>
          <w:sz w:val="24"/>
          <w:szCs w:val="24"/>
          <w:lang w:val="es-MX"/>
        </w:rPr>
        <w:t xml:space="preserve"> millones en </w:t>
      </w:r>
      <w:r w:rsidR="00192F52" w:rsidRPr="00317203">
        <w:rPr>
          <w:rFonts w:ascii="Futura Lt BT" w:hAnsi="Futura Lt BT" w:cs="Courier New"/>
          <w:sz w:val="24"/>
          <w:szCs w:val="24"/>
          <w:lang w:val="es-MX"/>
        </w:rPr>
        <w:t>igual per</w:t>
      </w:r>
      <w:r w:rsidR="00013847">
        <w:rPr>
          <w:rFonts w:ascii="Futura Lt BT" w:hAnsi="Futura Lt BT" w:cs="Courier New"/>
          <w:sz w:val="24"/>
          <w:szCs w:val="24"/>
          <w:lang w:val="es-MX"/>
        </w:rPr>
        <w:t>í</w:t>
      </w:r>
      <w:r w:rsidR="00192F52" w:rsidRPr="00317203">
        <w:rPr>
          <w:rFonts w:ascii="Futura Lt BT" w:hAnsi="Futura Lt BT" w:cs="Courier New"/>
          <w:sz w:val="24"/>
          <w:szCs w:val="24"/>
          <w:lang w:val="es-MX"/>
        </w:rPr>
        <w:t>odo de</w:t>
      </w:r>
      <w:r w:rsidR="008A74AE" w:rsidRPr="00317203">
        <w:rPr>
          <w:rFonts w:ascii="Futura Lt BT" w:hAnsi="Futura Lt BT" w:cs="Courier New"/>
          <w:sz w:val="24"/>
          <w:szCs w:val="24"/>
          <w:lang w:val="es-MX"/>
        </w:rPr>
        <w:t xml:space="preserve"> 2022), como resultado del registro de </w:t>
      </w:r>
      <w:r w:rsidR="000F65E8" w:rsidRPr="00317203">
        <w:rPr>
          <w:rFonts w:ascii="Futura Lt BT" w:hAnsi="Futura Lt BT" w:cs="Courier New"/>
          <w:sz w:val="24"/>
          <w:szCs w:val="24"/>
          <w:lang w:val="es-MX"/>
        </w:rPr>
        <w:t>380</w:t>
      </w:r>
      <w:r w:rsidR="004A416B" w:rsidRPr="00317203">
        <w:rPr>
          <w:rFonts w:ascii="Futura Lt BT" w:hAnsi="Futura Lt BT" w:cs="Courier New"/>
          <w:sz w:val="24"/>
          <w:szCs w:val="24"/>
          <w:lang w:val="es-MX"/>
        </w:rPr>
        <w:t>.</w:t>
      </w:r>
      <w:r w:rsidR="000F65E8" w:rsidRPr="00317203">
        <w:rPr>
          <w:rFonts w:ascii="Futura Lt BT" w:hAnsi="Futura Lt BT" w:cs="Courier New"/>
          <w:sz w:val="24"/>
          <w:szCs w:val="24"/>
          <w:lang w:val="es-MX"/>
        </w:rPr>
        <w:t>8</w:t>
      </w:r>
      <w:r w:rsidR="008A74AE" w:rsidRPr="00317203">
        <w:rPr>
          <w:rFonts w:ascii="Futura Lt BT" w:hAnsi="Futura Lt BT" w:cs="Courier New"/>
          <w:sz w:val="24"/>
          <w:szCs w:val="24"/>
          <w:lang w:val="es-MX"/>
        </w:rPr>
        <w:t xml:space="preserve"> millones de dólares en concepto de desembolsos (excluyendo créditos comerciales), y pago de amortizaciones de </w:t>
      </w:r>
      <w:r w:rsidR="000F65E8" w:rsidRPr="00317203">
        <w:rPr>
          <w:rFonts w:ascii="Futura Lt BT" w:hAnsi="Futura Lt BT" w:cs="Courier New"/>
          <w:sz w:val="24"/>
          <w:szCs w:val="24"/>
          <w:lang w:val="es-MX"/>
        </w:rPr>
        <w:t>233</w:t>
      </w:r>
      <w:r w:rsidR="008A74AE" w:rsidRPr="00317203">
        <w:rPr>
          <w:rFonts w:ascii="Futura Lt BT" w:hAnsi="Futura Lt BT" w:cs="Courier New"/>
          <w:sz w:val="24"/>
          <w:szCs w:val="24"/>
          <w:lang w:val="es-MX"/>
        </w:rPr>
        <w:t>.</w:t>
      </w:r>
      <w:r w:rsidR="000F65E8" w:rsidRPr="00317203">
        <w:rPr>
          <w:rFonts w:ascii="Futura Lt BT" w:hAnsi="Futura Lt BT" w:cs="Courier New"/>
          <w:sz w:val="24"/>
          <w:szCs w:val="24"/>
          <w:lang w:val="es-MX"/>
        </w:rPr>
        <w:t>6</w:t>
      </w:r>
      <w:r w:rsidR="008A74AE" w:rsidRPr="00317203">
        <w:rPr>
          <w:rFonts w:ascii="Futura Lt BT" w:hAnsi="Futura Lt BT" w:cs="Courier New"/>
          <w:sz w:val="24"/>
          <w:szCs w:val="24"/>
          <w:lang w:val="es-MX"/>
        </w:rPr>
        <w:t xml:space="preserve"> millones de dólares, entre otros ajustes devengados. </w:t>
      </w:r>
      <w:r w:rsidR="006B2AC5" w:rsidRPr="00317203">
        <w:rPr>
          <w:rFonts w:ascii="Futura Lt BT" w:hAnsi="Futura Lt BT" w:cs="Courier New"/>
          <w:sz w:val="24"/>
          <w:szCs w:val="24"/>
          <w:lang w:val="es-MX"/>
        </w:rPr>
        <w:t>E</w:t>
      </w:r>
      <w:r w:rsidR="006C2A6C">
        <w:rPr>
          <w:rFonts w:ascii="Futura Lt BT" w:hAnsi="Futura Lt BT" w:cs="Courier New"/>
          <w:sz w:val="24"/>
          <w:szCs w:val="24"/>
          <w:lang w:val="es-MX"/>
        </w:rPr>
        <w:t xml:space="preserve">n el período </w:t>
      </w:r>
      <w:r w:rsidR="00785F74" w:rsidRPr="00317203">
        <w:rPr>
          <w:rFonts w:ascii="Futura Lt BT" w:hAnsi="Futura Lt BT" w:cs="Courier New"/>
          <w:sz w:val="24"/>
          <w:szCs w:val="24"/>
          <w:lang w:val="es-MX"/>
        </w:rPr>
        <w:t>de enero a septiembre</w:t>
      </w:r>
      <w:r w:rsidR="006C2A6C">
        <w:rPr>
          <w:rFonts w:ascii="Futura Lt BT" w:hAnsi="Futura Lt BT" w:cs="Courier New"/>
          <w:sz w:val="24"/>
          <w:szCs w:val="24"/>
          <w:lang w:val="es-MX"/>
        </w:rPr>
        <w:t>,</w:t>
      </w:r>
      <w:r w:rsidR="006B2AC5" w:rsidRPr="00317203">
        <w:rPr>
          <w:rFonts w:ascii="Futura Lt BT" w:hAnsi="Futura Lt BT" w:cs="Courier New"/>
          <w:sz w:val="24"/>
          <w:szCs w:val="24"/>
          <w:lang w:val="es-MX"/>
        </w:rPr>
        <w:t xml:space="preserve"> se registró </w:t>
      </w:r>
      <w:r w:rsidR="00425224" w:rsidRPr="00317203">
        <w:rPr>
          <w:rFonts w:ascii="Futura Lt BT" w:hAnsi="Futura Lt BT" w:cs="Courier New"/>
          <w:sz w:val="24"/>
          <w:szCs w:val="24"/>
          <w:lang w:val="es-MX"/>
        </w:rPr>
        <w:t>desembolsos</w:t>
      </w:r>
      <w:r w:rsidR="006B2AC5" w:rsidRPr="00317203">
        <w:rPr>
          <w:rFonts w:ascii="Futura Lt BT" w:hAnsi="Futura Lt BT" w:cs="Courier New"/>
          <w:sz w:val="24"/>
          <w:szCs w:val="24"/>
          <w:lang w:val="es-MX"/>
        </w:rPr>
        <w:t xml:space="preserve"> net</w:t>
      </w:r>
      <w:r w:rsidR="00425224" w:rsidRPr="00317203">
        <w:rPr>
          <w:rFonts w:ascii="Futura Lt BT" w:hAnsi="Futura Lt BT" w:cs="Courier New"/>
          <w:sz w:val="24"/>
          <w:szCs w:val="24"/>
          <w:lang w:val="es-MX"/>
        </w:rPr>
        <w:t>o</w:t>
      </w:r>
      <w:r w:rsidR="006B2AC5" w:rsidRPr="00317203">
        <w:rPr>
          <w:rFonts w:ascii="Futura Lt BT" w:hAnsi="Futura Lt BT" w:cs="Courier New"/>
          <w:sz w:val="24"/>
          <w:szCs w:val="24"/>
          <w:lang w:val="es-MX"/>
        </w:rPr>
        <w:t xml:space="preserve">s de deuda externa de </w:t>
      </w:r>
      <w:r w:rsidR="00B71C5E">
        <w:rPr>
          <w:rFonts w:ascii="Futura Lt BT" w:hAnsi="Futura Lt BT" w:cs="Courier New"/>
          <w:sz w:val="24"/>
          <w:szCs w:val="24"/>
          <w:lang w:val="es-MX"/>
        </w:rPr>
        <w:t>65.4</w:t>
      </w:r>
      <w:r w:rsidR="002967CD" w:rsidRPr="00317203">
        <w:rPr>
          <w:rFonts w:ascii="Futura Lt BT" w:hAnsi="Futura Lt BT" w:cs="Courier New"/>
          <w:sz w:val="24"/>
          <w:szCs w:val="24"/>
          <w:lang w:val="es-MX"/>
        </w:rPr>
        <w:t xml:space="preserve"> millones de dólares</w:t>
      </w:r>
      <w:r w:rsidR="006C2A6C">
        <w:rPr>
          <w:rFonts w:ascii="Futura Lt BT" w:hAnsi="Futura Lt BT" w:cs="Courier New"/>
          <w:sz w:val="24"/>
          <w:szCs w:val="24"/>
          <w:lang w:val="es-MX"/>
        </w:rPr>
        <w:t xml:space="preserve"> (</w:t>
      </w:r>
      <w:r w:rsidR="004B4DC1">
        <w:rPr>
          <w:rFonts w:ascii="Futura Lt BT" w:hAnsi="Futura Lt BT" w:cs="Courier New"/>
          <w:sz w:val="24"/>
          <w:szCs w:val="24"/>
          <w:lang w:val="es-MX"/>
        </w:rPr>
        <w:t>US$</w:t>
      </w:r>
      <w:r w:rsidR="006B2AC5" w:rsidRPr="00317203">
        <w:rPr>
          <w:rFonts w:ascii="Futura Lt BT" w:hAnsi="Futura Lt BT" w:cs="Courier New"/>
          <w:sz w:val="24"/>
          <w:szCs w:val="24"/>
          <w:lang w:val="es-MX"/>
        </w:rPr>
        <w:t xml:space="preserve"> </w:t>
      </w:r>
      <w:r w:rsidR="00B71C5E">
        <w:rPr>
          <w:rFonts w:ascii="Futura Lt BT" w:hAnsi="Futura Lt BT" w:cs="Courier New"/>
          <w:sz w:val="24"/>
          <w:szCs w:val="24"/>
          <w:lang w:val="es-MX"/>
        </w:rPr>
        <w:t>62.3</w:t>
      </w:r>
      <w:r w:rsidR="006B2AC5" w:rsidRPr="00317203">
        <w:rPr>
          <w:rFonts w:ascii="Futura Lt BT" w:hAnsi="Futura Lt BT" w:cs="Courier New"/>
          <w:sz w:val="24"/>
          <w:szCs w:val="24"/>
          <w:lang w:val="es-MX"/>
        </w:rPr>
        <w:t xml:space="preserve"> millones </w:t>
      </w:r>
      <w:r w:rsidR="004B4DC1">
        <w:rPr>
          <w:rFonts w:ascii="Futura Lt BT" w:hAnsi="Futura Lt BT" w:cs="Courier New"/>
          <w:sz w:val="24"/>
          <w:szCs w:val="24"/>
          <w:lang w:val="es-MX"/>
        </w:rPr>
        <w:t>en</w:t>
      </w:r>
      <w:r w:rsidR="006C2A6C" w:rsidRPr="006C2A6C">
        <w:rPr>
          <w:rFonts w:ascii="Futura Lt BT" w:hAnsi="Futura Lt BT" w:cs="Courier New"/>
          <w:sz w:val="24"/>
          <w:szCs w:val="24"/>
          <w:lang w:val="es-MX"/>
        </w:rPr>
        <w:t xml:space="preserve"> </w:t>
      </w:r>
      <w:r w:rsidR="006C2A6C" w:rsidRPr="00317203">
        <w:rPr>
          <w:rFonts w:ascii="Futura Lt BT" w:hAnsi="Futura Lt BT" w:cs="Courier New"/>
          <w:sz w:val="24"/>
          <w:szCs w:val="24"/>
          <w:lang w:val="es-MX"/>
        </w:rPr>
        <w:t>igual per</w:t>
      </w:r>
      <w:r w:rsidR="00B71C5E">
        <w:rPr>
          <w:rFonts w:ascii="Futura Lt BT" w:hAnsi="Futura Lt BT" w:cs="Courier New"/>
          <w:sz w:val="24"/>
          <w:szCs w:val="24"/>
          <w:lang w:val="es-MX"/>
        </w:rPr>
        <w:t>í</w:t>
      </w:r>
      <w:r w:rsidR="006C2A6C" w:rsidRPr="00317203">
        <w:rPr>
          <w:rFonts w:ascii="Futura Lt BT" w:hAnsi="Futura Lt BT" w:cs="Courier New"/>
          <w:sz w:val="24"/>
          <w:szCs w:val="24"/>
          <w:lang w:val="es-MX"/>
        </w:rPr>
        <w:t>odo de 2022</w:t>
      </w:r>
      <w:r w:rsidR="004B4DC1">
        <w:rPr>
          <w:rFonts w:ascii="Futura Lt BT" w:hAnsi="Futura Lt BT" w:cs="Courier New"/>
          <w:sz w:val="24"/>
          <w:szCs w:val="24"/>
          <w:lang w:val="es-MX"/>
        </w:rPr>
        <w:t>)</w:t>
      </w:r>
      <w:r w:rsidR="006B2AC5" w:rsidRPr="00317203">
        <w:rPr>
          <w:rFonts w:ascii="Futura Lt BT" w:hAnsi="Futura Lt BT" w:cs="Courier New"/>
          <w:sz w:val="24"/>
          <w:szCs w:val="24"/>
          <w:lang w:val="es-MX"/>
        </w:rPr>
        <w:t>.</w:t>
      </w:r>
      <w:r w:rsidR="002C6677" w:rsidRPr="00317203">
        <w:rPr>
          <w:rFonts w:ascii="Futura Lt BT" w:hAnsi="Futura Lt BT" w:cs="Courier New"/>
          <w:sz w:val="24"/>
          <w:szCs w:val="24"/>
          <w:lang w:val="es-MX"/>
        </w:rPr>
        <w:t xml:space="preserve"> </w:t>
      </w:r>
    </w:p>
    <w:p w:rsidR="002979FC" w:rsidRDefault="002979FC" w:rsidP="00F6744B">
      <w:pPr>
        <w:spacing w:after="0" w:line="276" w:lineRule="auto"/>
        <w:jc w:val="both"/>
        <w:rPr>
          <w:rFonts w:ascii="Futura Lt BT" w:hAnsi="Futura Lt BT" w:cs="Courier New"/>
          <w:sz w:val="24"/>
          <w:szCs w:val="24"/>
          <w:lang w:val="es-MX"/>
        </w:rPr>
      </w:pPr>
    </w:p>
    <w:p w:rsidR="002979FC" w:rsidRDefault="002979FC" w:rsidP="00F6744B">
      <w:pPr>
        <w:spacing w:after="0" w:line="276" w:lineRule="auto"/>
        <w:jc w:val="both"/>
        <w:rPr>
          <w:rFonts w:ascii="Futura Lt BT" w:hAnsi="Futura Lt BT" w:cs="Courier New"/>
          <w:sz w:val="24"/>
          <w:szCs w:val="24"/>
          <w:lang w:val="es-MX"/>
        </w:rPr>
      </w:pPr>
    </w:p>
    <w:p w:rsidR="00B17336" w:rsidRPr="00317203" w:rsidRDefault="008A74AE" w:rsidP="00F6744B">
      <w:pPr>
        <w:spacing w:after="0" w:line="276" w:lineRule="auto"/>
        <w:jc w:val="both"/>
        <w:rPr>
          <w:rFonts w:ascii="Futura Lt BT" w:hAnsi="Futura Lt BT" w:cs="Arial"/>
          <w:color w:val="050505"/>
        </w:rPr>
      </w:pPr>
      <w:r w:rsidRPr="00317203">
        <w:rPr>
          <w:rFonts w:ascii="Futura Lt BT" w:hAnsi="Futura Lt BT" w:cs="Courier New"/>
          <w:sz w:val="24"/>
          <w:szCs w:val="24"/>
          <w:lang w:val="es-MX"/>
        </w:rPr>
        <w:lastRenderedPageBreak/>
        <w:t xml:space="preserve">Por su parte, </w:t>
      </w:r>
      <w:r w:rsidR="00542EC3" w:rsidRPr="00317203">
        <w:rPr>
          <w:rFonts w:ascii="Futura Lt BT" w:hAnsi="Futura Lt BT" w:cs="Courier New"/>
          <w:sz w:val="24"/>
          <w:szCs w:val="24"/>
          <w:lang w:val="es-MX"/>
        </w:rPr>
        <w:t xml:space="preserve">el saldo de depósitos en el exterior de las instituciones financieras </w:t>
      </w:r>
      <w:r w:rsidR="00351D97" w:rsidRPr="00317203">
        <w:rPr>
          <w:rFonts w:ascii="Futura Lt BT" w:hAnsi="Futura Lt BT" w:cs="Courier New"/>
          <w:sz w:val="24"/>
          <w:szCs w:val="24"/>
          <w:lang w:val="es-MX"/>
        </w:rPr>
        <w:t xml:space="preserve">registró aumento de </w:t>
      </w:r>
      <w:r w:rsidR="001E48E6" w:rsidRPr="00317203">
        <w:rPr>
          <w:rFonts w:ascii="Futura Lt BT" w:hAnsi="Futura Lt BT" w:cs="Courier New"/>
          <w:sz w:val="24"/>
          <w:szCs w:val="24"/>
          <w:lang w:val="es-MX"/>
        </w:rPr>
        <w:t xml:space="preserve">63.9 </w:t>
      </w:r>
      <w:r w:rsidR="00351D97" w:rsidRPr="00317203">
        <w:rPr>
          <w:rFonts w:ascii="Futura Lt BT" w:hAnsi="Futura Lt BT" w:cs="Courier New"/>
          <w:sz w:val="24"/>
          <w:szCs w:val="24"/>
          <w:lang w:val="es-MX"/>
        </w:rPr>
        <w:t>millones de dólares en</w:t>
      </w:r>
      <w:r w:rsidR="00542EC3" w:rsidRPr="00317203">
        <w:rPr>
          <w:rFonts w:ascii="Futura Lt BT" w:hAnsi="Futura Lt BT" w:cs="Courier New"/>
          <w:sz w:val="24"/>
          <w:szCs w:val="24"/>
          <w:lang w:val="es-MX"/>
        </w:rPr>
        <w:t xml:space="preserve"> el trimestre</w:t>
      </w:r>
      <w:r w:rsidR="00351D97" w:rsidRPr="00317203">
        <w:rPr>
          <w:rFonts w:ascii="Futura Lt BT" w:hAnsi="Futura Lt BT" w:cs="Courier New"/>
          <w:sz w:val="24"/>
          <w:szCs w:val="24"/>
          <w:lang w:val="es-MX"/>
        </w:rPr>
        <w:t xml:space="preserve">; y </w:t>
      </w:r>
      <w:r w:rsidR="00996939">
        <w:rPr>
          <w:rFonts w:ascii="Futura Lt BT" w:hAnsi="Futura Lt BT" w:cs="Courier New"/>
          <w:sz w:val="24"/>
          <w:szCs w:val="24"/>
          <w:lang w:val="es-MX"/>
        </w:rPr>
        <w:t xml:space="preserve">los del </w:t>
      </w:r>
      <w:r w:rsidR="00351D97" w:rsidRPr="00317203">
        <w:rPr>
          <w:rFonts w:ascii="Futura Lt BT" w:hAnsi="Futura Lt BT" w:cs="Courier New"/>
          <w:sz w:val="24"/>
          <w:szCs w:val="24"/>
          <w:lang w:val="es-MX"/>
        </w:rPr>
        <w:t>sector privado no financiero</w:t>
      </w:r>
      <w:r w:rsidR="00996939">
        <w:rPr>
          <w:rFonts w:ascii="Futura Lt BT" w:hAnsi="Futura Lt BT" w:cs="Courier New"/>
          <w:sz w:val="24"/>
          <w:szCs w:val="24"/>
          <w:lang w:val="es-MX"/>
        </w:rPr>
        <w:t xml:space="preserve"> fue en </w:t>
      </w:r>
      <w:r w:rsidR="00996939" w:rsidRPr="00317203">
        <w:rPr>
          <w:rFonts w:ascii="Futura Lt BT" w:hAnsi="Futura Lt BT" w:cs="Courier New"/>
          <w:sz w:val="24"/>
          <w:szCs w:val="24"/>
          <w:lang w:val="es-MX"/>
        </w:rPr>
        <w:t>50.5 millones</w:t>
      </w:r>
      <w:r w:rsidR="00426C71" w:rsidRPr="00317203">
        <w:rPr>
          <w:rFonts w:ascii="Futura Lt BT" w:hAnsi="Futura Lt BT" w:cs="Courier New"/>
          <w:sz w:val="24"/>
          <w:szCs w:val="24"/>
          <w:lang w:val="es-MX"/>
        </w:rPr>
        <w:t>. En términos acumulados</w:t>
      </w:r>
      <w:r w:rsidR="004F1A6A" w:rsidRPr="00317203">
        <w:rPr>
          <w:rFonts w:ascii="Futura Lt BT" w:hAnsi="Futura Lt BT" w:cs="Courier New"/>
          <w:sz w:val="24"/>
          <w:szCs w:val="24"/>
          <w:lang w:val="es-MX"/>
        </w:rPr>
        <w:t>,</w:t>
      </w:r>
      <w:r w:rsidR="00426C71" w:rsidRPr="00317203">
        <w:rPr>
          <w:rFonts w:ascii="Futura Lt BT" w:hAnsi="Futura Lt BT" w:cs="Courier New"/>
          <w:sz w:val="24"/>
          <w:szCs w:val="24"/>
          <w:lang w:val="es-MX"/>
        </w:rPr>
        <w:t xml:space="preserve"> </w:t>
      </w:r>
      <w:r w:rsidR="006B2AC5" w:rsidRPr="00317203">
        <w:rPr>
          <w:rFonts w:ascii="Futura Lt BT" w:hAnsi="Futura Lt BT" w:cs="Courier New"/>
          <w:sz w:val="24"/>
          <w:szCs w:val="24"/>
          <w:lang w:val="es-MX"/>
        </w:rPr>
        <w:t xml:space="preserve">los </w:t>
      </w:r>
      <w:r w:rsidR="00426C71" w:rsidRPr="00317203">
        <w:rPr>
          <w:rFonts w:ascii="Futura Lt BT" w:hAnsi="Futura Lt BT" w:cs="Courier New"/>
          <w:sz w:val="24"/>
          <w:szCs w:val="24"/>
          <w:lang w:val="es-MX"/>
        </w:rPr>
        <w:t>depósitos</w:t>
      </w:r>
      <w:r w:rsidR="006B2AC5" w:rsidRPr="00317203">
        <w:rPr>
          <w:rFonts w:ascii="Futura Lt BT" w:hAnsi="Futura Lt BT" w:cs="Courier New"/>
          <w:sz w:val="24"/>
          <w:szCs w:val="24"/>
          <w:lang w:val="es-MX"/>
        </w:rPr>
        <w:t xml:space="preserve"> de las instituciones financieras </w:t>
      </w:r>
      <w:r w:rsidR="00996939">
        <w:rPr>
          <w:rFonts w:ascii="Futura Lt BT" w:hAnsi="Futura Lt BT" w:cs="Courier New"/>
          <w:sz w:val="24"/>
          <w:szCs w:val="24"/>
          <w:lang w:val="es-MX"/>
        </w:rPr>
        <w:t xml:space="preserve">registran aumento de </w:t>
      </w:r>
      <w:r w:rsidR="00426C71" w:rsidRPr="00317203">
        <w:rPr>
          <w:rFonts w:ascii="Futura Lt BT" w:hAnsi="Futura Lt BT" w:cs="Courier New"/>
          <w:sz w:val="24"/>
          <w:szCs w:val="24"/>
          <w:lang w:val="es-MX"/>
        </w:rPr>
        <w:t>4</w:t>
      </w:r>
      <w:r w:rsidR="001E48E6" w:rsidRPr="00317203">
        <w:rPr>
          <w:rFonts w:ascii="Futura Lt BT" w:hAnsi="Futura Lt BT" w:cs="Courier New"/>
          <w:sz w:val="24"/>
          <w:szCs w:val="24"/>
          <w:lang w:val="es-MX"/>
        </w:rPr>
        <w:t>3.5</w:t>
      </w:r>
      <w:r w:rsidR="00426C71" w:rsidRPr="00317203">
        <w:rPr>
          <w:rFonts w:ascii="Futura Lt BT" w:hAnsi="Futura Lt BT" w:cs="Courier New"/>
          <w:sz w:val="24"/>
          <w:szCs w:val="24"/>
          <w:lang w:val="es-MX"/>
        </w:rPr>
        <w:t xml:space="preserve"> millones de dólares</w:t>
      </w:r>
      <w:r w:rsidR="006B2AC5" w:rsidRPr="00317203">
        <w:rPr>
          <w:rFonts w:ascii="Futura Lt BT" w:hAnsi="Futura Lt BT" w:cs="Courier New"/>
          <w:sz w:val="24"/>
          <w:szCs w:val="24"/>
          <w:lang w:val="es-MX"/>
        </w:rPr>
        <w:t xml:space="preserve">; </w:t>
      </w:r>
      <w:r w:rsidR="004B26D4" w:rsidRPr="00317203">
        <w:rPr>
          <w:rFonts w:ascii="Futura Lt BT" w:hAnsi="Futura Lt BT" w:cs="Courier New"/>
          <w:sz w:val="24"/>
          <w:szCs w:val="24"/>
          <w:lang w:val="es-MX"/>
        </w:rPr>
        <w:t xml:space="preserve">y </w:t>
      </w:r>
      <w:r w:rsidR="006B2AC5" w:rsidRPr="00317203">
        <w:rPr>
          <w:rFonts w:ascii="Futura Lt BT" w:hAnsi="Futura Lt BT" w:cs="Courier New"/>
          <w:sz w:val="24"/>
          <w:szCs w:val="24"/>
          <w:lang w:val="es-MX"/>
        </w:rPr>
        <w:t xml:space="preserve">los depósitos del sector privado no financiero </w:t>
      </w:r>
      <w:r w:rsidR="00996939">
        <w:rPr>
          <w:rFonts w:ascii="Futura Lt BT" w:hAnsi="Futura Lt BT" w:cs="Courier New"/>
          <w:sz w:val="24"/>
          <w:szCs w:val="24"/>
          <w:lang w:val="es-MX"/>
        </w:rPr>
        <w:t xml:space="preserve">en </w:t>
      </w:r>
      <w:r w:rsidR="00785F74" w:rsidRPr="00317203">
        <w:rPr>
          <w:rFonts w:ascii="Futura Lt BT" w:hAnsi="Futura Lt BT" w:cs="Courier New"/>
          <w:sz w:val="24"/>
          <w:szCs w:val="24"/>
          <w:lang w:val="es-MX"/>
        </w:rPr>
        <w:t>16.5</w:t>
      </w:r>
      <w:r w:rsidR="006A17B4" w:rsidRPr="00317203">
        <w:rPr>
          <w:rFonts w:ascii="Futura Lt BT" w:hAnsi="Futura Lt BT" w:cs="Courier New"/>
          <w:sz w:val="24"/>
          <w:szCs w:val="24"/>
          <w:lang w:val="es-MX"/>
        </w:rPr>
        <w:t xml:space="preserve"> millones</w:t>
      </w:r>
      <w:r w:rsidR="006B2AC5" w:rsidRPr="00317203">
        <w:rPr>
          <w:rFonts w:ascii="Futura Lt BT" w:hAnsi="Futura Lt BT" w:cs="Courier New"/>
          <w:sz w:val="24"/>
          <w:szCs w:val="24"/>
          <w:lang w:val="es-MX"/>
        </w:rPr>
        <w:t xml:space="preserve">. </w:t>
      </w:r>
      <w:r w:rsidR="00996939">
        <w:rPr>
          <w:rFonts w:ascii="Futura Lt BT" w:hAnsi="Futura Lt BT" w:cs="Courier New"/>
          <w:sz w:val="24"/>
          <w:szCs w:val="24"/>
          <w:lang w:val="es-MX"/>
        </w:rPr>
        <w:t>Asimismo</w:t>
      </w:r>
      <w:r w:rsidR="00E56F3C">
        <w:rPr>
          <w:rFonts w:ascii="Futura Lt BT" w:hAnsi="Futura Lt BT" w:cs="Courier New"/>
          <w:sz w:val="24"/>
          <w:szCs w:val="24"/>
          <w:lang w:val="es-MX"/>
        </w:rPr>
        <w:t xml:space="preserve">, </w:t>
      </w:r>
      <w:r w:rsidR="00996939">
        <w:rPr>
          <w:rFonts w:ascii="Futura Lt BT" w:hAnsi="Futura Lt BT" w:cs="Courier New"/>
          <w:sz w:val="24"/>
          <w:szCs w:val="24"/>
          <w:lang w:val="es-MX"/>
        </w:rPr>
        <w:t>destac</w:t>
      </w:r>
      <w:r w:rsidR="00E56F3C">
        <w:rPr>
          <w:rFonts w:ascii="Futura Lt BT" w:hAnsi="Futura Lt BT" w:cs="Courier New"/>
          <w:sz w:val="24"/>
          <w:szCs w:val="24"/>
          <w:lang w:val="es-MX"/>
        </w:rPr>
        <w:t>ó</w:t>
      </w:r>
      <w:r w:rsidR="00996939">
        <w:rPr>
          <w:rFonts w:ascii="Futura Lt BT" w:hAnsi="Futura Lt BT" w:cs="Courier New"/>
          <w:sz w:val="24"/>
          <w:szCs w:val="24"/>
          <w:lang w:val="es-MX"/>
        </w:rPr>
        <w:t xml:space="preserve"> el aumento de los </w:t>
      </w:r>
      <w:r w:rsidRPr="00996939">
        <w:rPr>
          <w:rFonts w:ascii="Futura Lt BT" w:hAnsi="Futura Lt BT" w:cs="Courier New"/>
          <w:sz w:val="24"/>
          <w:szCs w:val="24"/>
          <w:lang w:val="es-MX"/>
        </w:rPr>
        <w:t xml:space="preserve">activos de reserva del BCN </w:t>
      </w:r>
      <w:r w:rsidR="0035079B" w:rsidRPr="00996939">
        <w:rPr>
          <w:rFonts w:ascii="Futura Lt BT" w:hAnsi="Futura Lt BT" w:cs="Courier New"/>
          <w:sz w:val="24"/>
          <w:szCs w:val="24"/>
          <w:lang w:val="es-MX"/>
        </w:rPr>
        <w:t xml:space="preserve">en </w:t>
      </w:r>
      <w:r w:rsidRPr="00996939">
        <w:rPr>
          <w:rFonts w:ascii="Futura Lt BT" w:hAnsi="Futura Lt BT" w:cs="Courier New"/>
          <w:sz w:val="24"/>
          <w:szCs w:val="24"/>
          <w:lang w:val="es-MX"/>
        </w:rPr>
        <w:t>1</w:t>
      </w:r>
      <w:r w:rsidR="00C629D7" w:rsidRPr="00996939">
        <w:rPr>
          <w:rFonts w:ascii="Futura Lt BT" w:hAnsi="Futura Lt BT" w:cs="Courier New"/>
          <w:sz w:val="24"/>
          <w:szCs w:val="24"/>
          <w:lang w:val="es-MX"/>
        </w:rPr>
        <w:t>68.9</w:t>
      </w:r>
      <w:r w:rsidRPr="00996939">
        <w:rPr>
          <w:rFonts w:ascii="Futura Lt BT" w:hAnsi="Futura Lt BT" w:cs="Courier New"/>
          <w:sz w:val="24"/>
          <w:szCs w:val="24"/>
          <w:lang w:val="es-MX"/>
        </w:rPr>
        <w:t xml:space="preserve"> </w:t>
      </w:r>
      <w:r w:rsidR="006A17B4" w:rsidRPr="00996939">
        <w:rPr>
          <w:rFonts w:ascii="Futura Lt BT" w:hAnsi="Futura Lt BT" w:cs="Courier New"/>
          <w:sz w:val="24"/>
          <w:szCs w:val="24"/>
          <w:lang w:val="es-MX"/>
        </w:rPr>
        <w:t>millones</w:t>
      </w:r>
      <w:r w:rsidR="006B2AC5" w:rsidRPr="00996939">
        <w:rPr>
          <w:rFonts w:ascii="Futura Lt BT" w:hAnsi="Futura Lt BT" w:cs="Courier New"/>
          <w:sz w:val="24"/>
          <w:szCs w:val="24"/>
          <w:lang w:val="es-MX"/>
        </w:rPr>
        <w:t xml:space="preserve"> de dólares</w:t>
      </w:r>
      <w:r w:rsidR="00996939">
        <w:rPr>
          <w:rFonts w:ascii="Futura Lt BT" w:hAnsi="Futura Lt BT" w:cs="Courier New"/>
          <w:sz w:val="24"/>
          <w:szCs w:val="24"/>
          <w:lang w:val="es-MX"/>
        </w:rPr>
        <w:t xml:space="preserve"> registrado </w:t>
      </w:r>
      <w:r w:rsidR="006A17B4" w:rsidRPr="00996939">
        <w:rPr>
          <w:rFonts w:ascii="Futura Lt BT" w:hAnsi="Futura Lt BT" w:cs="Courier New"/>
          <w:sz w:val="24"/>
          <w:szCs w:val="24"/>
          <w:lang w:val="es-MX"/>
        </w:rPr>
        <w:t xml:space="preserve">en el trimestre </w:t>
      </w:r>
      <w:r w:rsidRPr="00996939">
        <w:rPr>
          <w:rFonts w:ascii="Futura Lt BT" w:hAnsi="Futura Lt BT" w:cs="Courier New"/>
          <w:sz w:val="24"/>
          <w:szCs w:val="24"/>
          <w:lang w:val="es-MX"/>
        </w:rPr>
        <w:t>(US$1</w:t>
      </w:r>
      <w:r w:rsidR="00E9672D" w:rsidRPr="00996939">
        <w:rPr>
          <w:rFonts w:ascii="Futura Lt BT" w:hAnsi="Futura Lt BT" w:cs="Courier New"/>
          <w:sz w:val="24"/>
          <w:szCs w:val="24"/>
          <w:lang w:val="es-MX"/>
        </w:rPr>
        <w:t>70</w:t>
      </w:r>
      <w:r w:rsidRPr="00996939">
        <w:rPr>
          <w:rFonts w:ascii="Futura Lt BT" w:hAnsi="Futura Lt BT" w:cs="Courier New"/>
          <w:sz w:val="24"/>
          <w:szCs w:val="24"/>
          <w:lang w:val="es-MX"/>
        </w:rPr>
        <w:t>.</w:t>
      </w:r>
      <w:r w:rsidR="00E9672D" w:rsidRPr="00996939">
        <w:rPr>
          <w:rFonts w:ascii="Futura Lt BT" w:hAnsi="Futura Lt BT" w:cs="Courier New"/>
          <w:sz w:val="24"/>
          <w:szCs w:val="24"/>
          <w:lang w:val="es-MX"/>
        </w:rPr>
        <w:t>5</w:t>
      </w:r>
      <w:r w:rsidRPr="00996939">
        <w:rPr>
          <w:rFonts w:ascii="Futura Lt BT" w:hAnsi="Futura Lt BT" w:cs="Courier New"/>
          <w:sz w:val="24"/>
          <w:szCs w:val="24"/>
          <w:lang w:val="es-MX"/>
        </w:rPr>
        <w:t xml:space="preserve"> millones en RIB)</w:t>
      </w:r>
      <w:r w:rsidR="006A17B4" w:rsidRPr="00996939">
        <w:rPr>
          <w:rFonts w:ascii="Futura Lt BT" w:hAnsi="Futura Lt BT" w:cs="Courier New"/>
          <w:sz w:val="24"/>
          <w:szCs w:val="24"/>
          <w:lang w:val="es-MX"/>
        </w:rPr>
        <w:t xml:space="preserve"> y </w:t>
      </w:r>
      <w:r w:rsidR="00996939">
        <w:rPr>
          <w:rFonts w:ascii="Futura Lt BT" w:hAnsi="Futura Lt BT" w:cs="Courier New"/>
          <w:sz w:val="24"/>
          <w:szCs w:val="24"/>
          <w:lang w:val="es-MX"/>
        </w:rPr>
        <w:t>de</w:t>
      </w:r>
      <w:r w:rsidR="006B2AC5" w:rsidRPr="00996939">
        <w:rPr>
          <w:rFonts w:ascii="Futura Lt BT" w:hAnsi="Futura Lt BT" w:cs="Courier New"/>
          <w:sz w:val="24"/>
          <w:szCs w:val="24"/>
          <w:lang w:val="es-MX"/>
        </w:rPr>
        <w:t xml:space="preserve"> </w:t>
      </w:r>
      <w:r w:rsidR="006A17B4" w:rsidRPr="00996939">
        <w:rPr>
          <w:rFonts w:ascii="Futura Lt BT" w:hAnsi="Futura Lt BT" w:cs="Courier New"/>
          <w:sz w:val="24"/>
          <w:szCs w:val="24"/>
          <w:lang w:val="es-MX"/>
        </w:rPr>
        <w:t>7</w:t>
      </w:r>
      <w:r w:rsidR="00542EC3" w:rsidRPr="00996939">
        <w:rPr>
          <w:rFonts w:ascii="Futura Lt BT" w:hAnsi="Futura Lt BT" w:cs="Courier New"/>
          <w:sz w:val="24"/>
          <w:szCs w:val="24"/>
          <w:lang w:val="es-MX"/>
        </w:rPr>
        <w:t>41.6</w:t>
      </w:r>
      <w:r w:rsidR="006A17B4" w:rsidRPr="00996939">
        <w:rPr>
          <w:rFonts w:ascii="Futura Lt BT" w:hAnsi="Futura Lt BT" w:cs="Courier New"/>
          <w:sz w:val="24"/>
          <w:szCs w:val="24"/>
          <w:lang w:val="es-MX"/>
        </w:rPr>
        <w:t xml:space="preserve"> millones </w:t>
      </w:r>
      <w:r w:rsidR="006B2AC5" w:rsidRPr="00996939">
        <w:rPr>
          <w:rFonts w:ascii="Futura Lt BT" w:hAnsi="Futura Lt BT" w:cs="Courier New"/>
          <w:sz w:val="24"/>
          <w:szCs w:val="24"/>
          <w:lang w:val="es-MX"/>
        </w:rPr>
        <w:t>en el per</w:t>
      </w:r>
      <w:r w:rsidR="00542EC3" w:rsidRPr="00996939">
        <w:rPr>
          <w:rFonts w:ascii="Futura Lt BT" w:hAnsi="Futura Lt BT" w:cs="Courier New"/>
          <w:sz w:val="24"/>
          <w:szCs w:val="24"/>
          <w:lang w:val="es-MX"/>
        </w:rPr>
        <w:t>í</w:t>
      </w:r>
      <w:r w:rsidR="006B2AC5" w:rsidRPr="00996939">
        <w:rPr>
          <w:rFonts w:ascii="Futura Lt BT" w:hAnsi="Futura Lt BT" w:cs="Courier New"/>
          <w:sz w:val="24"/>
          <w:szCs w:val="24"/>
          <w:lang w:val="es-MX"/>
        </w:rPr>
        <w:t>odo ene</w:t>
      </w:r>
      <w:r w:rsidR="004D1DD1" w:rsidRPr="00996939">
        <w:rPr>
          <w:rFonts w:ascii="Futura Lt BT" w:hAnsi="Futura Lt BT" w:cs="Courier New"/>
          <w:sz w:val="24"/>
          <w:szCs w:val="24"/>
          <w:lang w:val="es-MX"/>
        </w:rPr>
        <w:t>ro</w:t>
      </w:r>
      <w:r w:rsidR="006B2AC5" w:rsidRPr="00996939">
        <w:rPr>
          <w:rFonts w:ascii="Futura Lt BT" w:hAnsi="Futura Lt BT" w:cs="Courier New"/>
          <w:sz w:val="24"/>
          <w:szCs w:val="24"/>
          <w:lang w:val="es-MX"/>
        </w:rPr>
        <w:t>-</w:t>
      </w:r>
      <w:r w:rsidR="004D1DD1" w:rsidRPr="00996939">
        <w:rPr>
          <w:rFonts w:ascii="Futura Lt BT" w:hAnsi="Futura Lt BT" w:cs="Courier New"/>
          <w:sz w:val="24"/>
          <w:szCs w:val="24"/>
          <w:lang w:val="es-MX"/>
        </w:rPr>
        <w:t>septiembre</w:t>
      </w:r>
      <w:r w:rsidR="000E32C9" w:rsidRPr="00996939">
        <w:rPr>
          <w:rFonts w:ascii="Futura Lt BT" w:hAnsi="Futura Lt BT" w:cs="Courier New"/>
          <w:sz w:val="24"/>
          <w:szCs w:val="24"/>
          <w:lang w:val="es-MX"/>
        </w:rPr>
        <w:t xml:space="preserve"> </w:t>
      </w:r>
      <w:bookmarkStart w:id="5" w:name="_Hlk149573695"/>
      <w:r w:rsidR="000E32C9" w:rsidRPr="00996939">
        <w:rPr>
          <w:rFonts w:ascii="Futura Lt BT" w:hAnsi="Futura Lt BT" w:cs="Courier New"/>
          <w:sz w:val="24"/>
          <w:szCs w:val="24"/>
          <w:lang w:val="es-MX"/>
        </w:rPr>
        <w:t>(US$</w:t>
      </w:r>
      <w:r w:rsidR="004D1DD1" w:rsidRPr="00996939">
        <w:rPr>
          <w:rFonts w:ascii="Futura Lt BT" w:hAnsi="Futura Lt BT" w:cs="Courier New"/>
          <w:sz w:val="24"/>
          <w:szCs w:val="24"/>
          <w:lang w:val="es-MX"/>
        </w:rPr>
        <w:t>7</w:t>
      </w:r>
      <w:r w:rsidR="001E48E6" w:rsidRPr="00996939">
        <w:rPr>
          <w:rFonts w:ascii="Futura Lt BT" w:hAnsi="Futura Lt BT" w:cs="Courier New"/>
          <w:sz w:val="24"/>
          <w:szCs w:val="24"/>
          <w:lang w:val="es-MX"/>
        </w:rPr>
        <w:t>55.2</w:t>
      </w:r>
      <w:r w:rsidR="000E32C9" w:rsidRPr="00996939">
        <w:rPr>
          <w:rFonts w:ascii="Futura Lt BT" w:hAnsi="Futura Lt BT" w:cs="Courier New"/>
          <w:sz w:val="24"/>
          <w:szCs w:val="24"/>
          <w:lang w:val="es-MX"/>
        </w:rPr>
        <w:t xml:space="preserve"> millones en RIB)</w:t>
      </w:r>
      <w:bookmarkEnd w:id="5"/>
      <w:r w:rsidR="004F1A6A" w:rsidRPr="00996939">
        <w:rPr>
          <w:rFonts w:ascii="Futura Lt BT" w:hAnsi="Futura Lt BT" w:cs="Courier New"/>
          <w:sz w:val="24"/>
          <w:szCs w:val="24"/>
          <w:lang w:val="es-MX"/>
        </w:rPr>
        <w:t>,</w:t>
      </w:r>
      <w:r w:rsidR="006A17B4" w:rsidRPr="00996939">
        <w:rPr>
          <w:rFonts w:ascii="Futura Lt BT" w:hAnsi="Futura Lt BT" w:cs="Courier New"/>
          <w:sz w:val="24"/>
          <w:szCs w:val="24"/>
          <w:lang w:val="es-MX"/>
        </w:rPr>
        <w:t xml:space="preserve"> </w:t>
      </w:r>
      <w:r w:rsidRPr="00996939">
        <w:rPr>
          <w:rFonts w:ascii="Futura Lt BT" w:hAnsi="Futura Lt BT" w:cs="Courier New"/>
          <w:sz w:val="24"/>
          <w:szCs w:val="24"/>
          <w:lang w:val="es-MX"/>
        </w:rPr>
        <w:t>como resultado neto de las operaciones monetarias y cambiarias realizadas en el per</w:t>
      </w:r>
      <w:r w:rsidR="004F1A6A" w:rsidRPr="00996939">
        <w:rPr>
          <w:rFonts w:ascii="Futura Lt BT" w:hAnsi="Futura Lt BT" w:cs="Courier New"/>
          <w:sz w:val="24"/>
          <w:szCs w:val="24"/>
          <w:lang w:val="es-MX"/>
        </w:rPr>
        <w:t>í</w:t>
      </w:r>
      <w:r w:rsidRPr="00996939">
        <w:rPr>
          <w:rFonts w:ascii="Futura Lt BT" w:hAnsi="Futura Lt BT" w:cs="Courier New"/>
          <w:sz w:val="24"/>
          <w:szCs w:val="24"/>
          <w:lang w:val="es-MX"/>
        </w:rPr>
        <w:t>odo</w:t>
      </w:r>
      <w:r w:rsidRPr="00317203">
        <w:rPr>
          <w:rFonts w:ascii="Futura Lt BT" w:hAnsi="Futura Lt BT" w:cs="Arial"/>
          <w:color w:val="050505"/>
        </w:rPr>
        <w:t>.</w:t>
      </w:r>
    </w:p>
    <w:p w:rsidR="006A17B4" w:rsidRPr="00317203" w:rsidRDefault="006A17B4" w:rsidP="008A74AE">
      <w:pPr>
        <w:spacing w:after="0" w:line="276" w:lineRule="auto"/>
        <w:jc w:val="both"/>
        <w:rPr>
          <w:rFonts w:ascii="Futura Lt BT" w:hAnsi="Futura Lt BT" w:cs="Courier New"/>
          <w:sz w:val="24"/>
          <w:szCs w:val="24"/>
          <w:lang w:val="es-MX"/>
        </w:rPr>
      </w:pPr>
    </w:p>
    <w:p w:rsidR="00F6744B" w:rsidRPr="00317203" w:rsidRDefault="008A74AE" w:rsidP="008A74AE">
      <w:pPr>
        <w:spacing w:after="0" w:line="276" w:lineRule="auto"/>
        <w:jc w:val="both"/>
      </w:pPr>
      <w:bookmarkStart w:id="6" w:name="_Hlk149573337"/>
      <w:r w:rsidRPr="002979FC">
        <w:rPr>
          <w:rFonts w:ascii="Futura Lt BT" w:hAnsi="Futura Lt BT" w:cs="Courier New"/>
          <w:sz w:val="24"/>
          <w:szCs w:val="24"/>
          <w:lang w:val="es-MX"/>
        </w:rPr>
        <w:t xml:space="preserve">Como resultado de lo anterior, </w:t>
      </w:r>
      <w:r w:rsidR="004F1A6A" w:rsidRPr="002979FC">
        <w:rPr>
          <w:rFonts w:ascii="Futura Lt BT" w:hAnsi="Futura Lt BT" w:cs="Courier New"/>
          <w:sz w:val="24"/>
          <w:szCs w:val="24"/>
          <w:lang w:val="es-MX"/>
        </w:rPr>
        <w:t xml:space="preserve">la balanza de pagos registró superávit de cuenta corriente tanto en el </w:t>
      </w:r>
      <w:r w:rsidR="004D1DD1" w:rsidRPr="002979FC">
        <w:rPr>
          <w:rFonts w:ascii="Futura Lt BT" w:hAnsi="Futura Lt BT" w:cs="Courier New"/>
          <w:sz w:val="24"/>
          <w:szCs w:val="24"/>
          <w:lang w:val="es-MX"/>
        </w:rPr>
        <w:t>tercer</w:t>
      </w:r>
      <w:r w:rsidR="004F1A6A" w:rsidRPr="002979FC">
        <w:rPr>
          <w:rFonts w:ascii="Futura Lt BT" w:hAnsi="Futura Lt BT" w:cs="Courier New"/>
          <w:sz w:val="24"/>
          <w:szCs w:val="24"/>
          <w:lang w:val="es-MX"/>
        </w:rPr>
        <w:t xml:space="preserve"> trimestre (US$</w:t>
      </w:r>
      <w:r w:rsidR="00863430" w:rsidRPr="002979FC">
        <w:rPr>
          <w:rFonts w:ascii="Futura Lt BT" w:hAnsi="Futura Lt BT" w:cs="Courier New"/>
          <w:sz w:val="24"/>
          <w:szCs w:val="24"/>
          <w:lang w:val="es-MX"/>
        </w:rPr>
        <w:t>306.8</w:t>
      </w:r>
      <w:r w:rsidR="004F1A6A" w:rsidRPr="002979FC">
        <w:rPr>
          <w:rFonts w:ascii="Futura Lt BT" w:hAnsi="Futura Lt BT" w:cs="Courier New"/>
          <w:sz w:val="24"/>
          <w:szCs w:val="24"/>
          <w:lang w:val="es-MX"/>
        </w:rPr>
        <w:t xml:space="preserve"> millones)</w:t>
      </w:r>
      <w:r w:rsidR="00861854" w:rsidRPr="002979FC">
        <w:rPr>
          <w:rFonts w:ascii="Futura Lt BT" w:hAnsi="Futura Lt BT" w:cs="Courier New"/>
          <w:sz w:val="24"/>
          <w:szCs w:val="24"/>
          <w:lang w:val="es-MX"/>
        </w:rPr>
        <w:t>,</w:t>
      </w:r>
      <w:r w:rsidR="004F1A6A" w:rsidRPr="002979FC">
        <w:rPr>
          <w:rFonts w:ascii="Futura Lt BT" w:hAnsi="Futura Lt BT" w:cs="Courier New"/>
          <w:sz w:val="24"/>
          <w:szCs w:val="24"/>
          <w:lang w:val="es-MX"/>
        </w:rPr>
        <w:t xml:space="preserve"> como en el acumulado </w:t>
      </w:r>
      <w:r w:rsidR="004D1DD1" w:rsidRPr="002979FC">
        <w:rPr>
          <w:rFonts w:ascii="Futura Lt BT" w:hAnsi="Futura Lt BT" w:cs="Courier New"/>
          <w:sz w:val="24"/>
          <w:szCs w:val="24"/>
          <w:lang w:val="es-MX"/>
        </w:rPr>
        <w:t>enero-septiembre</w:t>
      </w:r>
      <w:r w:rsidR="00A14A1F" w:rsidRPr="002979FC">
        <w:rPr>
          <w:rFonts w:ascii="Futura Lt BT" w:hAnsi="Futura Lt BT" w:cs="Courier New"/>
          <w:sz w:val="24"/>
          <w:szCs w:val="24"/>
          <w:lang w:val="es-MX"/>
        </w:rPr>
        <w:t xml:space="preserve"> </w:t>
      </w:r>
      <w:r w:rsidR="004F1A6A" w:rsidRPr="002979FC">
        <w:rPr>
          <w:rFonts w:ascii="Futura Lt BT" w:hAnsi="Futura Lt BT" w:cs="Courier New"/>
          <w:sz w:val="24"/>
          <w:szCs w:val="24"/>
          <w:lang w:val="es-MX"/>
        </w:rPr>
        <w:t>(US$</w:t>
      </w:r>
      <w:r w:rsidR="004D1DD1" w:rsidRPr="002979FC">
        <w:rPr>
          <w:rFonts w:ascii="Futura Lt BT" w:hAnsi="Futura Lt BT" w:cs="Courier New"/>
          <w:sz w:val="24"/>
          <w:szCs w:val="24"/>
          <w:lang w:val="es-MX"/>
        </w:rPr>
        <w:t>1,</w:t>
      </w:r>
      <w:r w:rsidR="00863430" w:rsidRPr="002979FC">
        <w:rPr>
          <w:rFonts w:ascii="Futura Lt BT" w:hAnsi="Futura Lt BT" w:cs="Courier New"/>
          <w:sz w:val="24"/>
          <w:szCs w:val="24"/>
          <w:lang w:val="es-MX"/>
        </w:rPr>
        <w:t>201.6</w:t>
      </w:r>
      <w:r w:rsidR="004F1A6A" w:rsidRPr="002979FC">
        <w:rPr>
          <w:rFonts w:ascii="Futura Lt BT" w:hAnsi="Futura Lt BT" w:cs="Courier New"/>
          <w:sz w:val="24"/>
          <w:szCs w:val="24"/>
          <w:lang w:val="es-MX"/>
        </w:rPr>
        <w:t xml:space="preserve"> millones);</w:t>
      </w:r>
      <w:r w:rsidR="003469EC" w:rsidRPr="002979FC">
        <w:rPr>
          <w:rFonts w:ascii="Futura Lt BT" w:hAnsi="Futura Lt BT" w:cs="Courier New"/>
          <w:sz w:val="24"/>
          <w:szCs w:val="24"/>
          <w:lang w:val="es-MX"/>
        </w:rPr>
        <w:t xml:space="preserve"> </w:t>
      </w:r>
      <w:r w:rsidR="00E56F3C" w:rsidRPr="002979FC">
        <w:rPr>
          <w:rFonts w:ascii="Futura Lt BT" w:hAnsi="Futura Lt BT" w:cs="Courier New"/>
          <w:sz w:val="24"/>
          <w:szCs w:val="24"/>
          <w:lang w:val="es-MX"/>
        </w:rPr>
        <w:t xml:space="preserve">por lo que la cuenta de capital y financiera resultó en </w:t>
      </w:r>
      <w:r w:rsidRPr="002979FC">
        <w:rPr>
          <w:rFonts w:ascii="Futura Lt BT" w:hAnsi="Futura Lt BT" w:cs="Courier New"/>
          <w:sz w:val="24"/>
          <w:szCs w:val="24"/>
          <w:lang w:val="es-MX"/>
        </w:rPr>
        <w:t>flujo</w:t>
      </w:r>
      <w:r w:rsidR="00625C67" w:rsidRPr="002979FC">
        <w:rPr>
          <w:rFonts w:ascii="Futura Lt BT" w:hAnsi="Futura Lt BT" w:cs="Courier New"/>
          <w:sz w:val="24"/>
          <w:szCs w:val="24"/>
          <w:lang w:val="es-MX"/>
        </w:rPr>
        <w:t xml:space="preserve">s netos </w:t>
      </w:r>
      <w:r w:rsidRPr="002979FC">
        <w:rPr>
          <w:rFonts w:ascii="Futura Lt BT" w:hAnsi="Futura Lt BT" w:cs="Courier New"/>
          <w:sz w:val="24"/>
          <w:szCs w:val="24"/>
          <w:lang w:val="es-MX"/>
        </w:rPr>
        <w:t>hacia el exterior</w:t>
      </w:r>
      <w:r w:rsidR="00B56270" w:rsidRPr="002979FC">
        <w:rPr>
          <w:rFonts w:ascii="Futura Lt BT" w:hAnsi="Futura Lt BT" w:cs="Courier New"/>
          <w:sz w:val="24"/>
          <w:szCs w:val="24"/>
          <w:lang w:val="es-MX"/>
        </w:rPr>
        <w:t xml:space="preserve"> de </w:t>
      </w:r>
      <w:r w:rsidR="00863430" w:rsidRPr="002979FC">
        <w:rPr>
          <w:rFonts w:ascii="Futura Lt BT" w:hAnsi="Futura Lt BT" w:cs="Courier New"/>
          <w:sz w:val="24"/>
          <w:szCs w:val="24"/>
          <w:lang w:val="es-MX"/>
        </w:rPr>
        <w:t>322.2</w:t>
      </w:r>
      <w:r w:rsidR="00B56270" w:rsidRPr="002979FC">
        <w:rPr>
          <w:rFonts w:ascii="Futura Lt BT" w:hAnsi="Futura Lt BT" w:cs="Courier New"/>
          <w:sz w:val="24"/>
          <w:szCs w:val="24"/>
          <w:lang w:val="es-MX"/>
        </w:rPr>
        <w:t xml:space="preserve"> millones de dólares en el trimestre y de 1,</w:t>
      </w:r>
      <w:r w:rsidR="00863430" w:rsidRPr="002979FC">
        <w:rPr>
          <w:rFonts w:ascii="Futura Lt BT" w:hAnsi="Futura Lt BT" w:cs="Courier New"/>
          <w:sz w:val="24"/>
          <w:szCs w:val="24"/>
          <w:lang w:val="es-MX"/>
        </w:rPr>
        <w:t>220.6</w:t>
      </w:r>
      <w:r w:rsidR="00B56270" w:rsidRPr="002979FC">
        <w:rPr>
          <w:rFonts w:ascii="Futura Lt BT" w:hAnsi="Futura Lt BT" w:cs="Courier New"/>
          <w:sz w:val="24"/>
          <w:szCs w:val="24"/>
          <w:lang w:val="es-MX"/>
        </w:rPr>
        <w:t xml:space="preserve"> millones de dólares en enero-septiembre de 2023</w:t>
      </w:r>
      <w:r w:rsidRPr="002979FC">
        <w:rPr>
          <w:rFonts w:ascii="Futura Lt BT" w:hAnsi="Futura Lt BT" w:cs="Courier New"/>
          <w:sz w:val="24"/>
          <w:szCs w:val="24"/>
          <w:lang w:val="es-MX"/>
        </w:rPr>
        <w:t>.</w:t>
      </w:r>
      <w:r w:rsidRPr="00317203">
        <w:rPr>
          <w:rFonts w:ascii="Futura Lt BT" w:hAnsi="Futura Lt BT" w:cs="Courier New"/>
          <w:sz w:val="24"/>
          <w:szCs w:val="24"/>
          <w:lang w:val="es-MX"/>
        </w:rPr>
        <w:t xml:space="preserve"> </w:t>
      </w:r>
    </w:p>
    <w:bookmarkEnd w:id="6"/>
    <w:p w:rsidR="00F6744B" w:rsidRPr="00317203" w:rsidRDefault="00F6744B" w:rsidP="00F6744B">
      <w:pPr>
        <w:pStyle w:val="Estilo2"/>
        <w:ind w:left="862"/>
        <w:jc w:val="left"/>
      </w:pPr>
    </w:p>
    <w:p w:rsidR="00D02B3A" w:rsidRPr="00317203" w:rsidRDefault="00D86268" w:rsidP="00D02B3A">
      <w:pPr>
        <w:pStyle w:val="Estilo2"/>
        <w:numPr>
          <w:ilvl w:val="0"/>
          <w:numId w:val="4"/>
        </w:numPr>
        <w:jc w:val="left"/>
      </w:pPr>
      <w:r>
        <w:t>Principales r</w:t>
      </w:r>
      <w:r w:rsidR="007F352D" w:rsidRPr="00317203">
        <w:t>esultados de la Cuenta Corriente de la Balanza de Pagos</w:t>
      </w:r>
      <w:r w:rsidR="007F352D" w:rsidRPr="00317203">
        <w:rPr>
          <w:rStyle w:val="Refdenotaalpie"/>
        </w:rPr>
        <w:footnoteReference w:id="1"/>
      </w:r>
    </w:p>
    <w:p w:rsidR="00D02B3A" w:rsidRPr="00317203" w:rsidRDefault="00D02B3A" w:rsidP="00D02B3A">
      <w:pPr>
        <w:spacing w:after="0" w:line="240" w:lineRule="auto"/>
        <w:jc w:val="both"/>
        <w:rPr>
          <w:rFonts w:ascii="Futura Lt BT" w:hAnsi="Futura Lt BT"/>
          <w:sz w:val="24"/>
          <w:szCs w:val="24"/>
        </w:rPr>
      </w:pPr>
    </w:p>
    <w:p w:rsidR="00D86268" w:rsidRPr="002979FC" w:rsidRDefault="00D86268" w:rsidP="00D86268">
      <w:pPr>
        <w:pStyle w:val="Textoindependiente"/>
        <w:spacing w:line="276" w:lineRule="auto"/>
        <w:rPr>
          <w:rFonts w:cs="Courier New"/>
        </w:rPr>
      </w:pPr>
      <w:r w:rsidRPr="00317203">
        <w:rPr>
          <w:rFonts w:cs="Courier New"/>
        </w:rPr>
        <w:t>En el tercer trimestre</w:t>
      </w:r>
      <w:r>
        <w:rPr>
          <w:rFonts w:cs="Courier New"/>
        </w:rPr>
        <w:t xml:space="preserve"> de 2023</w:t>
      </w:r>
      <w:r w:rsidRPr="00317203">
        <w:rPr>
          <w:rFonts w:cs="Courier New"/>
        </w:rPr>
        <w:t xml:space="preserve">, las exportaciones de bienes </w:t>
      </w:r>
      <w:r>
        <w:rPr>
          <w:rFonts w:cs="Courier New"/>
        </w:rPr>
        <w:t xml:space="preserve">fueron de </w:t>
      </w:r>
      <w:r w:rsidRPr="00317203">
        <w:rPr>
          <w:rFonts w:cs="Courier New"/>
        </w:rPr>
        <w:t>1,666.5 millones</w:t>
      </w:r>
      <w:r>
        <w:rPr>
          <w:rFonts w:cs="Courier New"/>
        </w:rPr>
        <w:t xml:space="preserve"> de dólares, registrando un </w:t>
      </w:r>
      <w:r w:rsidRPr="00317203">
        <w:rPr>
          <w:rFonts w:cs="Courier New"/>
        </w:rPr>
        <w:t>crecimiento interanual de 6.2 por ciento (US$1,569.8 millones en III trimestre 2022), impulsadas por el dinamismo de las exportaciones de</w:t>
      </w:r>
      <w:r>
        <w:rPr>
          <w:rFonts w:cs="Courier New"/>
        </w:rPr>
        <w:t>l sector minero</w:t>
      </w:r>
      <w:r w:rsidRPr="00317203">
        <w:rPr>
          <w:rFonts w:cs="Courier New"/>
        </w:rPr>
        <w:t xml:space="preserve"> (35.3%) </w:t>
      </w:r>
      <w:r>
        <w:rPr>
          <w:rFonts w:cs="Courier New"/>
        </w:rPr>
        <w:t>que superó</w:t>
      </w:r>
      <w:r w:rsidRPr="00317203">
        <w:rPr>
          <w:rFonts w:cs="Courier New"/>
        </w:rPr>
        <w:t xml:space="preserve"> las disminuciones en los sectores: agropecuario (-13.1%), pesca (-10.3%) </w:t>
      </w:r>
      <w:r>
        <w:rPr>
          <w:rFonts w:cs="Courier New"/>
        </w:rPr>
        <w:t>e</w:t>
      </w:r>
      <w:r w:rsidRPr="00317203">
        <w:rPr>
          <w:rFonts w:cs="Courier New"/>
        </w:rPr>
        <w:t xml:space="preserve"> industria manufacturera (-5.2%). </w:t>
      </w:r>
      <w:r w:rsidRPr="002979FC">
        <w:rPr>
          <w:rFonts w:cs="Courier New"/>
        </w:rPr>
        <w:t xml:space="preserve">Por su parte, las exportaciones de servicios </w:t>
      </w:r>
      <w:r w:rsidRPr="002979FC">
        <w:t>(US$</w:t>
      </w:r>
      <w:r w:rsidR="00863430" w:rsidRPr="002979FC">
        <w:t>427.3</w:t>
      </w:r>
      <w:r w:rsidRPr="002979FC">
        <w:t xml:space="preserve"> millones) mostraron un</w:t>
      </w:r>
      <w:r w:rsidR="00863430" w:rsidRPr="002979FC">
        <w:t xml:space="preserve"> incremento </w:t>
      </w:r>
      <w:r w:rsidRPr="002979FC">
        <w:t xml:space="preserve">interanual de </w:t>
      </w:r>
      <w:r w:rsidR="005C3D4B" w:rsidRPr="002979FC">
        <w:t>3.9</w:t>
      </w:r>
      <w:r w:rsidRPr="002979FC">
        <w:t xml:space="preserve"> por ciento (US$411.2 millones en el tercer trimestre de 2022), debido principalmente a</w:t>
      </w:r>
      <w:r w:rsidR="005C3D4B" w:rsidRPr="002979FC">
        <w:t xml:space="preserve">l incremento de </w:t>
      </w:r>
      <w:r w:rsidR="005C3D4B" w:rsidRPr="002979FC">
        <w:rPr>
          <w:rFonts w:cs="Courier New"/>
        </w:rPr>
        <w:t>los ingresos por turismo de no residentes (49.8%),</w:t>
      </w:r>
      <w:r w:rsidRPr="002979FC">
        <w:t xml:space="preserve"> </w:t>
      </w:r>
      <w:r w:rsidR="005C3D4B" w:rsidRPr="002979FC">
        <w:rPr>
          <w:rFonts w:cs="Courier New"/>
        </w:rPr>
        <w:t xml:space="preserve">el cual estuvo asociado </w:t>
      </w:r>
      <w:r w:rsidR="006944FB" w:rsidRPr="002979FC">
        <w:rPr>
          <w:rFonts w:cs="Courier New"/>
        </w:rPr>
        <w:t>al aumento en la entrada de turistas y del gasto per cápita diario, a pesar de la reducción de la estadía promedio de los turistas</w:t>
      </w:r>
      <w:r w:rsidR="005C3D4B" w:rsidRPr="002979FC">
        <w:rPr>
          <w:rFonts w:cs="Courier New"/>
        </w:rPr>
        <w:t>, lo cual fue parcialmente contrarrestado por</w:t>
      </w:r>
      <w:r w:rsidR="005C3D4B" w:rsidRPr="002979FC">
        <w:t xml:space="preserve"> </w:t>
      </w:r>
      <w:r w:rsidRPr="002979FC">
        <w:t>la disminución de los ingresos de los servicios de manufactura (-44.8%)</w:t>
      </w:r>
      <w:r w:rsidR="00E129F9" w:rsidRPr="002979FC">
        <w:rPr>
          <w:rFonts w:cs="Courier New"/>
        </w:rPr>
        <w:t>.</w:t>
      </w:r>
    </w:p>
    <w:p w:rsidR="00E129F9" w:rsidRPr="002979FC" w:rsidRDefault="00E129F9" w:rsidP="00D86268">
      <w:pPr>
        <w:pStyle w:val="Textoindependiente"/>
        <w:spacing w:line="276" w:lineRule="auto"/>
      </w:pPr>
    </w:p>
    <w:p w:rsidR="00C14B81" w:rsidRDefault="00E129F9" w:rsidP="00D86268">
      <w:pPr>
        <w:pStyle w:val="Textoindependiente"/>
        <w:spacing w:line="276" w:lineRule="auto"/>
      </w:pPr>
      <w:r w:rsidRPr="002979FC">
        <w:t xml:space="preserve">Al mes de septiembre, las exportaciones de bienes </w:t>
      </w:r>
      <w:r w:rsidR="0049225B" w:rsidRPr="002979FC">
        <w:t>(US$5,230.1 millones) re</w:t>
      </w:r>
      <w:r w:rsidR="00C14B81" w:rsidRPr="002979FC">
        <w:t>f</w:t>
      </w:r>
      <w:r w:rsidR="0049225B" w:rsidRPr="002979FC">
        <w:t xml:space="preserve">lejaron un crecimiento interanual de 6.4 por ciento, </w:t>
      </w:r>
      <w:r w:rsidR="00C14B81" w:rsidRPr="002979FC">
        <w:t xml:space="preserve">debido </w:t>
      </w:r>
      <w:r w:rsidR="008437F3" w:rsidRPr="002979FC">
        <w:t xml:space="preserve">en parte </w:t>
      </w:r>
      <w:r w:rsidR="00C14B81" w:rsidRPr="002979FC">
        <w:t>al aumento de los precios promedios contratados (4.</w:t>
      </w:r>
      <w:r w:rsidR="00354674" w:rsidRPr="002979FC">
        <w:t>5</w:t>
      </w:r>
      <w:r w:rsidR="00C14B81" w:rsidRPr="002979FC">
        <w:t xml:space="preserve">%); </w:t>
      </w:r>
      <w:r w:rsidR="005C2B12" w:rsidRPr="002979FC">
        <w:t>y por el dinamismo de las exportaciones de</w:t>
      </w:r>
      <w:r w:rsidR="00354674" w:rsidRPr="002979FC">
        <w:t xml:space="preserve"> </w:t>
      </w:r>
      <w:r w:rsidR="005C2B12" w:rsidRPr="002979FC">
        <w:t>productos mineros (17.7%), tabaco (11.0%) y arneses (26.4%).</w:t>
      </w:r>
      <w:r w:rsidR="00533AEA" w:rsidRPr="002979FC">
        <w:t xml:space="preserve"> Por su parte, las exportaciones de </w:t>
      </w:r>
      <w:r w:rsidR="00533AEA" w:rsidRPr="002979FC">
        <w:lastRenderedPageBreak/>
        <w:t>servicios (US$1,</w:t>
      </w:r>
      <w:r w:rsidR="00F73668" w:rsidRPr="002979FC">
        <w:t>117.6</w:t>
      </w:r>
      <w:r w:rsidR="00533AEA" w:rsidRPr="002979FC">
        <w:t xml:space="preserve"> millones) registraron una disminución acumulada de </w:t>
      </w:r>
      <w:r w:rsidR="00F73668" w:rsidRPr="002979FC">
        <w:t>1</w:t>
      </w:r>
      <w:r w:rsidR="00533AEA" w:rsidRPr="002979FC">
        <w:t xml:space="preserve">.2 por ciento, explicado principalmente por los menores servicios de manufactura en la rama textil (-37.0%), el cual fue atenuado por </w:t>
      </w:r>
      <w:r w:rsidR="00924837" w:rsidRPr="002979FC">
        <w:t xml:space="preserve">el aumento </w:t>
      </w:r>
      <w:r w:rsidR="00C14B81" w:rsidRPr="002979FC">
        <w:t xml:space="preserve">en los </w:t>
      </w:r>
      <w:r w:rsidR="00AA554E" w:rsidRPr="002979FC">
        <w:t>ingresos del turismo de no</w:t>
      </w:r>
      <w:r w:rsidR="00AA554E">
        <w:t xml:space="preserve"> </w:t>
      </w:r>
      <w:r w:rsidR="00AA554E" w:rsidRPr="002979FC">
        <w:rPr>
          <w:noProof/>
        </w:rPr>
        <w:drawing>
          <wp:anchor distT="0" distB="0" distL="114300" distR="114300" simplePos="0" relativeHeight="251813888" behindDoc="0" locked="0" layoutInCell="1" allowOverlap="1">
            <wp:simplePos x="0" y="0"/>
            <wp:positionH relativeFrom="column">
              <wp:posOffset>2959100</wp:posOffset>
            </wp:positionH>
            <wp:positionV relativeFrom="paragraph">
              <wp:posOffset>960534</wp:posOffset>
            </wp:positionV>
            <wp:extent cx="2631440" cy="2066925"/>
            <wp:effectExtent l="0" t="0" r="0" b="952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144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54E" w:rsidRPr="002979FC">
        <w:rPr>
          <w:noProof/>
        </w:rPr>
        <w:drawing>
          <wp:anchor distT="0" distB="0" distL="114300" distR="114300" simplePos="0" relativeHeight="251812864" behindDoc="0" locked="0" layoutInCell="1" allowOverlap="1">
            <wp:simplePos x="0" y="0"/>
            <wp:positionH relativeFrom="margin">
              <wp:align>left</wp:align>
            </wp:positionH>
            <wp:positionV relativeFrom="paragraph">
              <wp:posOffset>952196</wp:posOffset>
            </wp:positionV>
            <wp:extent cx="2735249" cy="2110566"/>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249" cy="2110566"/>
                    </a:xfrm>
                    <a:prstGeom prst="rect">
                      <a:avLst/>
                    </a:prstGeom>
                    <a:noFill/>
                    <a:ln>
                      <a:noFill/>
                    </a:ln>
                  </pic:spPr>
                </pic:pic>
              </a:graphicData>
            </a:graphic>
          </wp:anchor>
        </w:drawing>
      </w:r>
      <w:r w:rsidR="00AA554E" w:rsidRPr="002979FC">
        <w:t xml:space="preserve">residentes (24.8%) y los </w:t>
      </w:r>
      <w:r w:rsidR="00C14B81" w:rsidRPr="002979FC">
        <w:t xml:space="preserve">servicios de </w:t>
      </w:r>
      <w:r w:rsidR="00533AEA" w:rsidRPr="002979FC">
        <w:t>transporte</w:t>
      </w:r>
      <w:r w:rsidR="00C14B81" w:rsidRPr="002979FC">
        <w:t xml:space="preserve"> (6.1%)</w:t>
      </w:r>
      <w:r w:rsidR="00AA554E" w:rsidRPr="002979FC">
        <w:t>.</w:t>
      </w:r>
      <w:r w:rsidR="00C14B81">
        <w:t xml:space="preserve"> </w:t>
      </w:r>
    </w:p>
    <w:p w:rsidR="00D86268" w:rsidRPr="008437F3" w:rsidRDefault="00D86268" w:rsidP="008437F3">
      <w:pPr>
        <w:pStyle w:val="Textoindependiente"/>
        <w:spacing w:line="276" w:lineRule="auto"/>
      </w:pPr>
    </w:p>
    <w:p w:rsidR="00D86268" w:rsidRDefault="00D86268" w:rsidP="00D86268">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Las importaciones de bienes</w:t>
      </w:r>
      <w:r w:rsidRPr="00317203">
        <w:rPr>
          <w:rFonts w:ascii="Futura Lt BT" w:hAnsi="Futura Lt BT" w:cs="Courier New"/>
          <w:sz w:val="24"/>
          <w:szCs w:val="24"/>
          <w:vertAlign w:val="superscript"/>
          <w:lang w:val="es-MX"/>
        </w:rPr>
        <w:footnoteReference w:id="2"/>
      </w:r>
      <w:r w:rsidRPr="00317203">
        <w:rPr>
          <w:rFonts w:ascii="Futura Lt BT" w:hAnsi="Futura Lt BT" w:cs="Courier New"/>
          <w:sz w:val="24"/>
          <w:szCs w:val="24"/>
          <w:lang w:val="es-MX"/>
        </w:rPr>
        <w:t xml:space="preserve"> fueron de 2,414.5 millones de dólares en el tercer trimestre, las cuales aumentaron 3.9 por ciento con respecto a igual período 2022 (US$2,322.9 millones), debido principalmente a</w:t>
      </w:r>
      <w:r>
        <w:rPr>
          <w:rFonts w:ascii="Futura Lt BT" w:hAnsi="Futura Lt BT" w:cs="Courier New"/>
          <w:sz w:val="24"/>
          <w:szCs w:val="24"/>
          <w:lang w:val="es-MX"/>
        </w:rPr>
        <w:t>l</w:t>
      </w:r>
      <w:r w:rsidRPr="00317203">
        <w:rPr>
          <w:rFonts w:ascii="Futura Lt BT" w:hAnsi="Futura Lt BT" w:cs="Courier New"/>
          <w:sz w:val="24"/>
          <w:szCs w:val="24"/>
          <w:lang w:val="es-MX"/>
        </w:rPr>
        <w:t xml:space="preserve"> aumento de 1</w:t>
      </w:r>
      <w:r>
        <w:rPr>
          <w:rFonts w:ascii="Futura Lt BT" w:hAnsi="Futura Lt BT" w:cs="Courier New"/>
          <w:sz w:val="24"/>
          <w:szCs w:val="24"/>
          <w:lang w:val="es-MX"/>
        </w:rPr>
        <w:t>3.6</w:t>
      </w:r>
      <w:r w:rsidRPr="00317203">
        <w:rPr>
          <w:rFonts w:ascii="Futura Lt BT" w:hAnsi="Futura Lt BT" w:cs="Courier New"/>
          <w:sz w:val="24"/>
          <w:szCs w:val="24"/>
          <w:lang w:val="es-MX"/>
        </w:rPr>
        <w:t xml:space="preserve"> por ciento en los volúmenes importados</w:t>
      </w:r>
      <w:r>
        <w:rPr>
          <w:rFonts w:ascii="Futura Lt BT" w:hAnsi="Futura Lt BT" w:cs="Courier New"/>
          <w:sz w:val="24"/>
          <w:szCs w:val="24"/>
          <w:lang w:val="es-MX"/>
        </w:rPr>
        <w:t>,</w:t>
      </w:r>
      <w:r w:rsidRPr="00317203">
        <w:rPr>
          <w:rFonts w:ascii="Futura Lt BT" w:hAnsi="Futura Lt BT" w:cs="Courier New"/>
          <w:sz w:val="24"/>
          <w:szCs w:val="24"/>
          <w:lang w:val="es-MX"/>
        </w:rPr>
        <w:t xml:space="preserve"> contrarrestado por la baja de </w:t>
      </w:r>
      <w:r>
        <w:rPr>
          <w:rFonts w:ascii="Futura Lt BT" w:hAnsi="Futura Lt BT" w:cs="Courier New"/>
          <w:sz w:val="24"/>
          <w:szCs w:val="24"/>
          <w:lang w:val="es-MX"/>
        </w:rPr>
        <w:t>9.7</w:t>
      </w:r>
      <w:r w:rsidRPr="00317203">
        <w:rPr>
          <w:rFonts w:ascii="Futura Lt BT" w:hAnsi="Futura Lt BT" w:cs="Courier New"/>
          <w:sz w:val="24"/>
          <w:szCs w:val="24"/>
          <w:lang w:val="es-MX"/>
        </w:rPr>
        <w:t xml:space="preserve"> por ciento en los precios promedio contratados. Las m</w:t>
      </w:r>
      <w:r>
        <w:rPr>
          <w:rFonts w:ascii="Futura Lt BT" w:hAnsi="Futura Lt BT" w:cs="Courier New"/>
          <w:sz w:val="24"/>
          <w:szCs w:val="24"/>
          <w:lang w:val="es-MX"/>
        </w:rPr>
        <w:t>ay</w:t>
      </w:r>
      <w:r w:rsidRPr="00317203">
        <w:rPr>
          <w:rFonts w:ascii="Futura Lt BT" w:hAnsi="Futura Lt BT" w:cs="Courier New"/>
          <w:sz w:val="24"/>
          <w:szCs w:val="24"/>
          <w:lang w:val="es-MX"/>
        </w:rPr>
        <w:t>ores compras de bienes importados se dieron en los bienes de capital (14.6%), bienes de consumo (10.1%), y petróleo, combustibles y lubricantes (2.0%)</w:t>
      </w:r>
      <w:r>
        <w:rPr>
          <w:rFonts w:ascii="Futura Lt BT" w:hAnsi="Futura Lt BT" w:cs="Courier New"/>
          <w:sz w:val="24"/>
          <w:szCs w:val="24"/>
          <w:lang w:val="es-MX"/>
        </w:rPr>
        <w:t xml:space="preserve">, lo cual fue atenuado por la disminución en las compras de </w:t>
      </w:r>
      <w:r w:rsidRPr="00317203">
        <w:rPr>
          <w:rFonts w:ascii="Futura Lt BT" w:hAnsi="Futura Lt BT" w:cs="Courier New"/>
          <w:sz w:val="24"/>
          <w:szCs w:val="24"/>
          <w:lang w:val="es-MX"/>
        </w:rPr>
        <w:t>bienes intermedios (-1.9%). En el aumento de las importaciones de bienes de capital destacó la mayor adquisición de bienes para la agricultura (69.5%), equipos de transporte (35.3%), y herramientas y maquinaria industrial (6.2%).</w:t>
      </w:r>
      <w:r w:rsidR="00895612">
        <w:rPr>
          <w:rFonts w:ascii="Futura Lt BT" w:hAnsi="Futura Lt BT" w:cs="Courier New"/>
          <w:sz w:val="24"/>
          <w:szCs w:val="24"/>
          <w:lang w:val="es-MX"/>
        </w:rPr>
        <w:t xml:space="preserve"> Asimismo, l</w:t>
      </w:r>
      <w:r w:rsidRPr="00317203">
        <w:rPr>
          <w:rFonts w:ascii="Futura Lt BT" w:hAnsi="Futura Lt BT" w:cs="Courier New"/>
          <w:sz w:val="24"/>
          <w:szCs w:val="24"/>
          <w:lang w:val="es-MX"/>
        </w:rPr>
        <w:t xml:space="preserve">as importaciones de servicios, que totalizaron 301.1 millones de dólares en este trimestre, registraron un aumento interanual de 4.0 por ciento (US$289.5 millones en III trimestre 2022), como resultado de mayores gastos </w:t>
      </w:r>
      <w:r w:rsidR="00AE1BC2">
        <w:rPr>
          <w:rFonts w:ascii="Futura Lt BT" w:hAnsi="Futura Lt BT" w:cs="Courier New"/>
          <w:sz w:val="24"/>
          <w:szCs w:val="24"/>
          <w:lang w:val="es-MX"/>
        </w:rPr>
        <w:t>en</w:t>
      </w:r>
      <w:r w:rsidRPr="00317203">
        <w:rPr>
          <w:rFonts w:ascii="Futura Lt BT" w:hAnsi="Futura Lt BT" w:cs="Courier New"/>
          <w:sz w:val="24"/>
          <w:szCs w:val="24"/>
          <w:lang w:val="es-MX"/>
        </w:rPr>
        <w:t xml:space="preserve"> turismo (41.5%) y servicios</w:t>
      </w:r>
      <w:r w:rsidR="00AE1BC2">
        <w:rPr>
          <w:rFonts w:ascii="Futura Lt BT" w:hAnsi="Futura Lt BT" w:cs="Courier New"/>
          <w:sz w:val="24"/>
          <w:szCs w:val="24"/>
          <w:lang w:val="es-MX"/>
        </w:rPr>
        <w:t xml:space="preserve"> de seguros y pensiones (6.7%)</w:t>
      </w:r>
      <w:r w:rsidRPr="00317203">
        <w:rPr>
          <w:rFonts w:ascii="Futura Lt BT" w:hAnsi="Futura Lt BT" w:cs="Courier New"/>
          <w:sz w:val="24"/>
          <w:szCs w:val="24"/>
          <w:lang w:val="es-MX"/>
        </w:rPr>
        <w:t>.</w:t>
      </w:r>
    </w:p>
    <w:p w:rsidR="00895612" w:rsidRDefault="00895612" w:rsidP="00D86268">
      <w:pPr>
        <w:spacing w:after="0" w:line="276" w:lineRule="auto"/>
        <w:jc w:val="both"/>
        <w:rPr>
          <w:rFonts w:ascii="Futura Lt BT" w:hAnsi="Futura Lt BT" w:cs="Courier New"/>
          <w:sz w:val="24"/>
          <w:szCs w:val="24"/>
          <w:lang w:val="es-MX"/>
        </w:rPr>
      </w:pPr>
    </w:p>
    <w:p w:rsidR="00895612" w:rsidRDefault="00895612" w:rsidP="00D86268">
      <w:pPr>
        <w:spacing w:after="0" w:line="276" w:lineRule="auto"/>
        <w:jc w:val="both"/>
        <w:rPr>
          <w:rFonts w:ascii="Futura Lt BT" w:hAnsi="Futura Lt BT" w:cs="Courier New"/>
          <w:sz w:val="24"/>
          <w:szCs w:val="24"/>
          <w:lang w:val="es-MX"/>
        </w:rPr>
      </w:pPr>
      <w:r w:rsidRPr="002979FC">
        <w:rPr>
          <w:rFonts w:ascii="Futura Lt BT" w:hAnsi="Futura Lt BT" w:cs="Courier New"/>
          <w:sz w:val="24"/>
          <w:szCs w:val="24"/>
          <w:lang w:val="es-MX"/>
        </w:rPr>
        <w:t xml:space="preserve">En acumulado a septiembre de 2023, las importaciones de bienes </w:t>
      </w:r>
      <w:r w:rsidR="00D10B50" w:rsidRPr="002979FC">
        <w:rPr>
          <w:rFonts w:ascii="Futura Lt BT" w:hAnsi="Futura Lt BT" w:cs="Courier New"/>
          <w:sz w:val="24"/>
          <w:szCs w:val="24"/>
          <w:lang w:val="es-MX"/>
        </w:rPr>
        <w:t xml:space="preserve">totalizaron </w:t>
      </w:r>
      <w:r w:rsidR="00A8346C" w:rsidRPr="002979FC">
        <w:rPr>
          <w:rFonts w:ascii="Futura Lt BT" w:hAnsi="Futura Lt BT" w:cs="Courier New"/>
          <w:sz w:val="24"/>
          <w:szCs w:val="24"/>
          <w:lang w:val="es-MX"/>
        </w:rPr>
        <w:t xml:space="preserve">6,873.1 millones de dólares, lo cual significó un crecimiento de 1.0 por ciento con respecto al mismo período de 2022, a pesar de la baja de 8.2 por ciento en los precios promedios contratados. Por su parte las importaciones acumuladas de servicios sumaron 814.8 millones de dólares, lo que se tradujo en una disminución de 0.5 por ciento con respecto </w:t>
      </w:r>
      <w:r w:rsidR="00A8346C" w:rsidRPr="002979FC">
        <w:rPr>
          <w:rFonts w:ascii="Futura Lt BT" w:hAnsi="Futura Lt BT" w:cs="Courier New"/>
          <w:sz w:val="24"/>
          <w:szCs w:val="24"/>
          <w:lang w:val="es-MX"/>
        </w:rPr>
        <w:lastRenderedPageBreak/>
        <w:t>a lo</w:t>
      </w:r>
      <w:r w:rsidR="004C50D7" w:rsidRPr="002979FC">
        <w:rPr>
          <w:rFonts w:ascii="Futura Lt BT" w:hAnsi="Futura Lt BT" w:cs="Courier New"/>
          <w:sz w:val="24"/>
          <w:szCs w:val="24"/>
          <w:lang w:val="es-MX"/>
        </w:rPr>
        <w:t xml:space="preserve"> </w:t>
      </w:r>
      <w:r w:rsidR="00A8346C" w:rsidRPr="002979FC">
        <w:rPr>
          <w:rFonts w:ascii="Futura Lt BT" w:hAnsi="Futura Lt BT" w:cs="Courier New"/>
          <w:sz w:val="24"/>
          <w:szCs w:val="24"/>
          <w:lang w:val="es-MX"/>
        </w:rPr>
        <w:t>registrado en</w:t>
      </w:r>
      <w:r w:rsidR="004C50D7" w:rsidRPr="002979FC">
        <w:rPr>
          <w:rFonts w:ascii="Futura Lt BT" w:hAnsi="Futura Lt BT" w:cs="Courier New"/>
          <w:sz w:val="24"/>
          <w:szCs w:val="24"/>
          <w:lang w:val="es-MX"/>
        </w:rPr>
        <w:t xml:space="preserve"> enero-septiembre de 2022, asociado a la disminución en los </w:t>
      </w:r>
      <w:r w:rsidR="00C11EF0" w:rsidRPr="002979FC">
        <w:rPr>
          <w:rFonts w:ascii="Futura Lt BT" w:hAnsi="Futura Lt BT" w:cs="Courier New"/>
          <w:sz w:val="24"/>
          <w:szCs w:val="24"/>
          <w:lang w:val="es-MX"/>
        </w:rPr>
        <w:t>servicios de</w:t>
      </w:r>
      <w:r w:rsidR="008437F3" w:rsidRPr="002979FC">
        <w:rPr>
          <w:noProof/>
        </w:rPr>
        <w:drawing>
          <wp:anchor distT="0" distB="0" distL="114300" distR="114300" simplePos="0" relativeHeight="251808768" behindDoc="0" locked="0" layoutInCell="1" allowOverlap="1">
            <wp:simplePos x="0" y="0"/>
            <wp:positionH relativeFrom="column">
              <wp:posOffset>2959100</wp:posOffset>
            </wp:positionH>
            <wp:positionV relativeFrom="paragraph">
              <wp:posOffset>491324</wp:posOffset>
            </wp:positionV>
            <wp:extent cx="2564130" cy="235331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4130" cy="235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7F3" w:rsidRPr="002979FC">
        <w:rPr>
          <w:noProof/>
        </w:rPr>
        <w:drawing>
          <wp:anchor distT="0" distB="0" distL="114300" distR="114300" simplePos="0" relativeHeight="251807744" behindDoc="0" locked="0" layoutInCell="1" allowOverlap="1">
            <wp:simplePos x="0" y="0"/>
            <wp:positionH relativeFrom="margin">
              <wp:align>left</wp:align>
            </wp:positionH>
            <wp:positionV relativeFrom="paragraph">
              <wp:posOffset>491296</wp:posOffset>
            </wp:positionV>
            <wp:extent cx="2711450" cy="236918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1450" cy="236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9FC" w:rsidRPr="002979FC">
        <w:rPr>
          <w:rFonts w:ascii="Futura Lt BT" w:hAnsi="Futura Lt BT" w:cs="Courier New"/>
          <w:sz w:val="24"/>
          <w:szCs w:val="24"/>
          <w:lang w:val="es-MX"/>
        </w:rPr>
        <w:t xml:space="preserve"> transporte</w:t>
      </w:r>
      <w:r w:rsidR="004C50D7" w:rsidRPr="002979FC">
        <w:rPr>
          <w:rFonts w:ascii="Futura Lt BT" w:hAnsi="Futura Lt BT" w:cs="Courier New"/>
          <w:sz w:val="24"/>
          <w:szCs w:val="24"/>
          <w:lang w:val="es-MX"/>
        </w:rPr>
        <w:t>.</w:t>
      </w:r>
    </w:p>
    <w:p w:rsidR="005C2B12" w:rsidRDefault="005C2B12" w:rsidP="00D86268">
      <w:pPr>
        <w:spacing w:after="0" w:line="276" w:lineRule="auto"/>
        <w:jc w:val="both"/>
        <w:rPr>
          <w:rFonts w:ascii="Futura Lt BT" w:hAnsi="Futura Lt BT" w:cs="Courier New"/>
          <w:sz w:val="24"/>
          <w:szCs w:val="24"/>
          <w:lang w:val="es-MX"/>
        </w:rPr>
      </w:pPr>
    </w:p>
    <w:p w:rsidR="005C2B12" w:rsidRPr="002979FC" w:rsidRDefault="005C2B12" w:rsidP="005C2B12">
      <w:pPr>
        <w:spacing w:after="0" w:line="276" w:lineRule="auto"/>
        <w:jc w:val="both"/>
        <w:rPr>
          <w:rFonts w:ascii="Futura Lt BT" w:hAnsi="Futura Lt BT" w:cs="Courier New"/>
          <w:sz w:val="24"/>
          <w:szCs w:val="24"/>
          <w:lang w:val="es-MX"/>
        </w:rPr>
      </w:pPr>
      <w:bookmarkStart w:id="7" w:name="_Hlk140141456"/>
      <w:r w:rsidRPr="002979FC">
        <w:rPr>
          <w:rFonts w:ascii="Futura Lt BT" w:hAnsi="Futura Lt BT" w:cs="Courier New"/>
          <w:sz w:val="24"/>
          <w:szCs w:val="24"/>
          <w:lang w:val="es-MX"/>
        </w:rPr>
        <w:t xml:space="preserve">De las transacciones de exportaciones e importaciones de bienes y servicios registradas en el trimestre, se obtuvo un déficit comercial de </w:t>
      </w:r>
      <w:r w:rsidR="00C71FF1" w:rsidRPr="002979FC">
        <w:rPr>
          <w:rFonts w:ascii="Futura Lt BT" w:hAnsi="Futura Lt BT" w:cs="Courier New"/>
          <w:sz w:val="24"/>
          <w:szCs w:val="24"/>
          <w:lang w:val="es-MX"/>
        </w:rPr>
        <w:t>621.8</w:t>
      </w:r>
      <w:r w:rsidRPr="002979FC">
        <w:rPr>
          <w:rFonts w:ascii="Futura Lt BT" w:hAnsi="Futura Lt BT" w:cs="Courier New"/>
          <w:sz w:val="24"/>
          <w:szCs w:val="24"/>
          <w:lang w:val="es-MX"/>
        </w:rPr>
        <w:t xml:space="preserve"> millones de dólares, el cual fue superior en </w:t>
      </w:r>
      <w:r w:rsidR="00C71FF1" w:rsidRPr="002979FC">
        <w:rPr>
          <w:rFonts w:ascii="Futura Lt BT" w:hAnsi="Futura Lt BT" w:cs="Courier New"/>
          <w:sz w:val="24"/>
          <w:szCs w:val="24"/>
          <w:lang w:val="es-MX"/>
        </w:rPr>
        <w:t>24.2</w:t>
      </w:r>
      <w:r w:rsidRPr="002979FC">
        <w:rPr>
          <w:rFonts w:ascii="Futura Lt BT" w:hAnsi="Futura Lt BT" w:cs="Courier New"/>
          <w:sz w:val="24"/>
          <w:szCs w:val="24"/>
          <w:lang w:val="es-MX"/>
        </w:rPr>
        <w:t xml:space="preserve"> por ciento (US$</w:t>
      </w:r>
      <w:r w:rsidR="00C71FF1" w:rsidRPr="002979FC">
        <w:rPr>
          <w:rFonts w:ascii="Futura Lt BT" w:hAnsi="Futura Lt BT" w:cs="Courier New"/>
          <w:sz w:val="24"/>
          <w:szCs w:val="24"/>
          <w:lang w:val="es-MX"/>
        </w:rPr>
        <w:t>121.3</w:t>
      </w:r>
      <w:r w:rsidRPr="002979FC">
        <w:rPr>
          <w:rFonts w:ascii="Futura Lt BT" w:hAnsi="Futura Lt BT" w:cs="Courier New"/>
          <w:sz w:val="24"/>
          <w:szCs w:val="24"/>
          <w:lang w:val="es-MX"/>
        </w:rPr>
        <w:t xml:space="preserve"> millones) con respecto al trimestre anterior, </w:t>
      </w:r>
      <w:r w:rsidR="00C71FF1" w:rsidRPr="002979FC">
        <w:rPr>
          <w:rFonts w:ascii="Futura Lt BT" w:hAnsi="Futura Lt BT" w:cs="Courier New"/>
          <w:sz w:val="24"/>
          <w:szCs w:val="24"/>
          <w:lang w:val="es-MX"/>
        </w:rPr>
        <w:t>pero inferior</w:t>
      </w:r>
      <w:r w:rsidR="006042D7" w:rsidRPr="002979FC">
        <w:rPr>
          <w:rFonts w:ascii="Futura Lt BT" w:hAnsi="Futura Lt BT" w:cs="Courier New"/>
          <w:sz w:val="24"/>
          <w:szCs w:val="24"/>
          <w:lang w:val="es-MX"/>
        </w:rPr>
        <w:t xml:space="preserve"> </w:t>
      </w:r>
      <w:r w:rsidRPr="002979FC">
        <w:rPr>
          <w:rFonts w:ascii="Futura Lt BT" w:hAnsi="Futura Lt BT" w:cs="Courier New"/>
          <w:sz w:val="24"/>
          <w:szCs w:val="24"/>
          <w:lang w:val="es-MX"/>
        </w:rPr>
        <w:t>en</w:t>
      </w:r>
      <w:r w:rsidR="00C71FF1" w:rsidRPr="002979FC">
        <w:rPr>
          <w:rFonts w:ascii="Futura Lt BT" w:hAnsi="Futura Lt BT" w:cs="Courier New"/>
          <w:sz w:val="24"/>
          <w:szCs w:val="24"/>
          <w:lang w:val="es-MX"/>
        </w:rPr>
        <w:t xml:space="preserve"> 1.5</w:t>
      </w:r>
      <w:r w:rsidRPr="002979FC">
        <w:rPr>
          <w:rFonts w:ascii="Futura Lt BT" w:hAnsi="Futura Lt BT" w:cs="Courier New"/>
          <w:sz w:val="24"/>
          <w:szCs w:val="24"/>
          <w:lang w:val="es-MX"/>
        </w:rPr>
        <w:t xml:space="preserve"> por ciento </w:t>
      </w:r>
      <w:r w:rsidR="006042D7" w:rsidRPr="002979FC">
        <w:rPr>
          <w:rFonts w:ascii="Futura Lt BT" w:hAnsi="Futura Lt BT" w:cs="Courier New"/>
          <w:sz w:val="24"/>
          <w:szCs w:val="24"/>
          <w:lang w:val="es-MX"/>
        </w:rPr>
        <w:t xml:space="preserve">con relación </w:t>
      </w:r>
      <w:r w:rsidRPr="002979FC">
        <w:rPr>
          <w:rFonts w:ascii="Futura Lt BT" w:hAnsi="Futura Lt BT" w:cs="Courier New"/>
          <w:sz w:val="24"/>
          <w:szCs w:val="24"/>
          <w:lang w:val="es-MX"/>
        </w:rPr>
        <w:t>al registrado en el tercer trimestre de 2022 (-US$631.4 millones)</w:t>
      </w:r>
      <w:bookmarkEnd w:id="7"/>
      <w:r w:rsidRPr="002979FC">
        <w:rPr>
          <w:rFonts w:ascii="Futura Lt BT" w:hAnsi="Futura Lt BT" w:cs="Courier New"/>
          <w:sz w:val="24"/>
          <w:szCs w:val="24"/>
          <w:lang w:val="es-MX"/>
        </w:rPr>
        <w:t xml:space="preserve">. </w:t>
      </w:r>
    </w:p>
    <w:p w:rsidR="005C2B12" w:rsidRPr="002979FC" w:rsidRDefault="005C2B12" w:rsidP="005C2B12">
      <w:pPr>
        <w:spacing w:after="0" w:line="276" w:lineRule="auto"/>
        <w:jc w:val="both"/>
        <w:rPr>
          <w:rFonts w:ascii="Futura Lt BT" w:hAnsi="Futura Lt BT" w:cs="Courier New"/>
          <w:sz w:val="24"/>
          <w:szCs w:val="24"/>
          <w:lang w:val="es-MX"/>
        </w:rPr>
      </w:pPr>
    </w:p>
    <w:p w:rsidR="005C2B12" w:rsidRPr="00317203" w:rsidRDefault="005C2B12" w:rsidP="005C2B12">
      <w:pPr>
        <w:spacing w:after="0" w:line="276" w:lineRule="auto"/>
        <w:jc w:val="both"/>
        <w:rPr>
          <w:rFonts w:ascii="Futura Lt BT" w:hAnsi="Futura Lt BT" w:cs="Courier New"/>
          <w:sz w:val="24"/>
          <w:szCs w:val="24"/>
          <w:lang w:val="es-MX"/>
        </w:rPr>
      </w:pPr>
      <w:r w:rsidRPr="002979FC">
        <w:rPr>
          <w:rFonts w:ascii="Futura Lt BT" w:hAnsi="Futura Lt BT" w:cs="Courier New"/>
          <w:sz w:val="24"/>
          <w:szCs w:val="24"/>
          <w:lang w:val="es-MX"/>
        </w:rPr>
        <w:t>En términos acumulados, el balance comercial de bienes y servicios resultó en un déficit de 1,</w:t>
      </w:r>
      <w:r w:rsidR="00AA554E" w:rsidRPr="002979FC">
        <w:rPr>
          <w:rFonts w:ascii="Futura Lt BT" w:hAnsi="Futura Lt BT" w:cs="Courier New"/>
          <w:sz w:val="24"/>
          <w:szCs w:val="24"/>
          <w:lang w:val="es-MX"/>
        </w:rPr>
        <w:t>340.2</w:t>
      </w:r>
      <w:r w:rsidRPr="002979FC">
        <w:rPr>
          <w:rFonts w:ascii="Futura Lt BT" w:hAnsi="Futura Lt BT" w:cs="Courier New"/>
          <w:sz w:val="24"/>
          <w:szCs w:val="24"/>
          <w:lang w:val="es-MX"/>
        </w:rPr>
        <w:t xml:space="preserve"> millones de dólares de enero a septiembre de 2023 (-US$1,580.8 millones en el mismo período de 2022), debido principalmente al balance negativo de comercio de bienes (-US$1,643.0 millones), que fue atenuado por el superávit en el comercio de servicios de </w:t>
      </w:r>
      <w:r w:rsidR="00AA554E" w:rsidRPr="002979FC">
        <w:rPr>
          <w:rFonts w:ascii="Futura Lt BT" w:hAnsi="Futura Lt BT" w:cs="Courier New"/>
          <w:sz w:val="24"/>
          <w:szCs w:val="24"/>
          <w:lang w:val="es-MX"/>
        </w:rPr>
        <w:t>302.8</w:t>
      </w:r>
      <w:r w:rsidRPr="002979FC">
        <w:rPr>
          <w:rFonts w:ascii="Futura Lt BT" w:hAnsi="Futura Lt BT" w:cs="Courier New"/>
          <w:sz w:val="24"/>
          <w:szCs w:val="24"/>
          <w:lang w:val="es-MX"/>
        </w:rPr>
        <w:t xml:space="preserve"> millones de dólares.</w:t>
      </w:r>
      <w:r w:rsidRPr="00317203">
        <w:rPr>
          <w:rFonts w:ascii="Futura Lt BT" w:hAnsi="Futura Lt BT" w:cs="Courier New"/>
          <w:sz w:val="24"/>
          <w:szCs w:val="24"/>
          <w:lang w:val="es-MX"/>
        </w:rPr>
        <w:t xml:space="preserve"> </w:t>
      </w:r>
    </w:p>
    <w:p w:rsidR="005C2B12" w:rsidRPr="00317203" w:rsidRDefault="005C2B12" w:rsidP="005C2B12">
      <w:pPr>
        <w:spacing w:after="0" w:line="276" w:lineRule="auto"/>
        <w:jc w:val="both"/>
        <w:rPr>
          <w:rFonts w:ascii="Futura Lt BT" w:hAnsi="Futura Lt BT" w:cs="Courier New"/>
          <w:sz w:val="24"/>
          <w:szCs w:val="24"/>
          <w:lang w:val="es-MX"/>
        </w:rPr>
      </w:pPr>
    </w:p>
    <w:p w:rsidR="005C2B12" w:rsidRDefault="005C2B12" w:rsidP="005C2B12">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Los términos de intercambio evolucionaron favorables en el per</w:t>
      </w:r>
      <w:r>
        <w:rPr>
          <w:rFonts w:ascii="Futura Lt BT" w:hAnsi="Futura Lt BT" w:cs="Courier New"/>
          <w:sz w:val="24"/>
          <w:szCs w:val="24"/>
          <w:lang w:val="es-MX"/>
        </w:rPr>
        <w:t>í</w:t>
      </w:r>
      <w:r w:rsidRPr="00317203">
        <w:rPr>
          <w:rFonts w:ascii="Futura Lt BT" w:hAnsi="Futura Lt BT" w:cs="Courier New"/>
          <w:sz w:val="24"/>
          <w:szCs w:val="24"/>
          <w:lang w:val="es-MX"/>
        </w:rPr>
        <w:t>odo enero-septiembre, al registrar un aumento promedio de 14.1 por ciento, siendo resultado de un incremento en los precios contratados de las exportaciones de 4.6 por ciento, y una disminución de los precios de bienes importados de 8.2 por ciento.</w:t>
      </w:r>
    </w:p>
    <w:p w:rsidR="005C2B12" w:rsidRDefault="00AA554E" w:rsidP="005C2B12">
      <w:pPr>
        <w:spacing w:after="0" w:line="276" w:lineRule="auto"/>
        <w:jc w:val="both"/>
        <w:rPr>
          <w:rFonts w:ascii="Futura Lt BT" w:hAnsi="Futura Lt BT" w:cs="Courier New"/>
          <w:sz w:val="24"/>
          <w:szCs w:val="24"/>
          <w:lang w:val="es-MX"/>
        </w:rPr>
      </w:pPr>
      <w:r w:rsidRPr="00AA554E">
        <w:rPr>
          <w:noProof/>
        </w:rPr>
        <w:lastRenderedPageBreak/>
        <w:drawing>
          <wp:anchor distT="0" distB="0" distL="114300" distR="114300" simplePos="0" relativeHeight="251814912" behindDoc="0" locked="0" layoutInCell="1" allowOverlap="1">
            <wp:simplePos x="0" y="0"/>
            <wp:positionH relativeFrom="margin">
              <wp:align>left</wp:align>
            </wp:positionH>
            <wp:positionV relativeFrom="paragraph">
              <wp:posOffset>0</wp:posOffset>
            </wp:positionV>
            <wp:extent cx="2863850" cy="200342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0" cy="200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2D7" w:rsidRPr="006042D7">
        <w:rPr>
          <w:noProof/>
        </w:rPr>
        <w:drawing>
          <wp:anchor distT="0" distB="0" distL="114300" distR="114300" simplePos="0" relativeHeight="251810816" behindDoc="0" locked="0" layoutInCell="1" allowOverlap="1">
            <wp:simplePos x="0" y="0"/>
            <wp:positionH relativeFrom="column">
              <wp:posOffset>3046095</wp:posOffset>
            </wp:positionH>
            <wp:positionV relativeFrom="paragraph">
              <wp:posOffset>0</wp:posOffset>
            </wp:positionV>
            <wp:extent cx="2536190" cy="19939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6190"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6268" w:rsidRPr="00317203" w:rsidRDefault="005C2B12" w:rsidP="00D86268">
      <w:pPr>
        <w:spacing w:after="0" w:line="276" w:lineRule="auto"/>
        <w:jc w:val="both"/>
        <w:rPr>
          <w:rFonts w:ascii="Futura Lt BT" w:hAnsi="Futura Lt BT" w:cs="Courier New"/>
          <w:sz w:val="24"/>
          <w:szCs w:val="24"/>
          <w:lang w:val="es-MX"/>
        </w:rPr>
      </w:pPr>
      <w:r>
        <w:rPr>
          <w:rFonts w:ascii="Futura Lt BT" w:hAnsi="Futura Lt BT" w:cs="Courier New"/>
          <w:sz w:val="24"/>
          <w:szCs w:val="24"/>
          <w:lang w:val="es-MX"/>
        </w:rPr>
        <w:t>En l</w:t>
      </w:r>
      <w:r w:rsidR="00D86268" w:rsidRPr="00317203">
        <w:rPr>
          <w:rFonts w:ascii="Futura Lt BT" w:hAnsi="Futura Lt BT" w:cs="Courier New"/>
          <w:sz w:val="24"/>
          <w:szCs w:val="24"/>
          <w:lang w:val="es-MX"/>
        </w:rPr>
        <w:t>a cuenta del ingreso primario (renta)</w:t>
      </w:r>
      <w:bookmarkStart w:id="8" w:name="_Hlk98755824"/>
      <w:r w:rsidR="00D86268" w:rsidRPr="00317203">
        <w:rPr>
          <w:rFonts w:ascii="Futura Lt BT" w:hAnsi="Futura Lt BT" w:cs="Courier New"/>
          <w:sz w:val="24"/>
          <w:szCs w:val="24"/>
          <w:lang w:val="es-MX"/>
        </w:rPr>
        <w:t xml:space="preserve"> </w:t>
      </w:r>
      <w:r>
        <w:rPr>
          <w:rFonts w:ascii="Futura Lt BT" w:hAnsi="Futura Lt BT" w:cs="Courier New"/>
          <w:sz w:val="24"/>
          <w:szCs w:val="24"/>
          <w:lang w:val="es-MX"/>
        </w:rPr>
        <w:t xml:space="preserve">se </w:t>
      </w:r>
      <w:r w:rsidR="00D86268" w:rsidRPr="00317203">
        <w:rPr>
          <w:rFonts w:ascii="Futura Lt BT" w:hAnsi="Futura Lt BT" w:cs="Courier New"/>
          <w:sz w:val="24"/>
          <w:szCs w:val="24"/>
          <w:lang w:val="es-MX"/>
        </w:rPr>
        <w:t xml:space="preserve">registró un déficit de 291.4 millones, asociado principalmente al registro de la renta de la inversión extranjera directa en el país (US$291.6 millones) y pago de intereses devengados de la deuda externa total (US$84.1 millones), que superaron a los intereses devengados de las reservas del banco central (US$51.1 millones). El déficit del ingreso primario </w:t>
      </w:r>
      <w:r w:rsidR="00D86268">
        <w:rPr>
          <w:rFonts w:ascii="Futura Lt BT" w:hAnsi="Futura Lt BT" w:cs="Courier New"/>
          <w:sz w:val="24"/>
          <w:szCs w:val="24"/>
          <w:lang w:val="es-MX"/>
        </w:rPr>
        <w:t>aument</w:t>
      </w:r>
      <w:r w:rsidR="00D86268" w:rsidRPr="00317203">
        <w:rPr>
          <w:rFonts w:ascii="Futura Lt BT" w:hAnsi="Futura Lt BT" w:cs="Courier New"/>
          <w:sz w:val="24"/>
          <w:szCs w:val="24"/>
          <w:lang w:val="es-MX"/>
        </w:rPr>
        <w:t xml:space="preserve">ó en </w:t>
      </w:r>
      <w:r w:rsidR="00D86268">
        <w:rPr>
          <w:rFonts w:ascii="Futura Lt BT" w:hAnsi="Futura Lt BT" w:cs="Courier New"/>
          <w:sz w:val="24"/>
          <w:szCs w:val="24"/>
          <w:lang w:val="es-MX"/>
        </w:rPr>
        <w:t>1.0</w:t>
      </w:r>
      <w:r w:rsidR="00D86268" w:rsidRPr="00317203">
        <w:rPr>
          <w:rFonts w:ascii="Futura Lt BT" w:hAnsi="Futura Lt BT" w:cs="Courier New"/>
          <w:sz w:val="24"/>
          <w:szCs w:val="24"/>
          <w:lang w:val="es-MX"/>
        </w:rPr>
        <w:t xml:space="preserve"> por ciento</w:t>
      </w:r>
      <w:r w:rsidR="00D86268">
        <w:rPr>
          <w:rFonts w:ascii="Futura Lt BT" w:hAnsi="Futura Lt BT" w:cs="Courier New"/>
          <w:sz w:val="24"/>
          <w:szCs w:val="24"/>
          <w:lang w:val="es-MX"/>
        </w:rPr>
        <w:t xml:space="preserve"> (-US$2.8 millones) con respecto a lo registrado en el tercer trimestre de 2022 (-US$288.6 millones)</w:t>
      </w:r>
      <w:r w:rsidR="00D86268" w:rsidRPr="00317203">
        <w:rPr>
          <w:rFonts w:ascii="Futura Lt BT" w:hAnsi="Futura Lt BT" w:cs="Courier New"/>
          <w:sz w:val="24"/>
          <w:szCs w:val="24"/>
          <w:lang w:val="es-MX"/>
        </w:rPr>
        <w:t>. Por su parte, el ingreso secundario reflejó un superávit de 1,220.0 millones en el trimestre, derivado principalmente al dinamismo de los flujos de remesas (US$1,218.5 millones)</w:t>
      </w:r>
      <w:bookmarkEnd w:id="8"/>
      <w:r w:rsidR="00D86268" w:rsidRPr="00317203">
        <w:rPr>
          <w:rFonts w:ascii="Futura Lt BT" w:hAnsi="Futura Lt BT" w:cs="Courier New"/>
          <w:sz w:val="24"/>
          <w:szCs w:val="24"/>
          <w:lang w:val="es-MX"/>
        </w:rPr>
        <w:t>, las cuales registraron un incremento interanual</w:t>
      </w:r>
      <w:r w:rsidR="00D86268">
        <w:rPr>
          <w:rFonts w:ascii="Futura Lt BT" w:hAnsi="Futura Lt BT" w:cs="Courier New"/>
          <w:sz w:val="24"/>
          <w:szCs w:val="24"/>
          <w:lang w:val="es-MX"/>
        </w:rPr>
        <w:t xml:space="preserve"> </w:t>
      </w:r>
      <w:r w:rsidR="00D86268" w:rsidRPr="00317203">
        <w:rPr>
          <w:rFonts w:ascii="Futura Lt BT" w:hAnsi="Futura Lt BT" w:cs="Courier New"/>
          <w:sz w:val="24"/>
          <w:szCs w:val="24"/>
          <w:lang w:val="es-MX"/>
        </w:rPr>
        <w:t>de 41.3 por ciento.</w:t>
      </w:r>
      <w:r w:rsidR="00D86268">
        <w:rPr>
          <w:rFonts w:ascii="Futura Lt BT" w:hAnsi="Futura Lt BT" w:cs="Courier New"/>
          <w:sz w:val="24"/>
          <w:szCs w:val="24"/>
          <w:lang w:val="es-MX"/>
        </w:rPr>
        <w:t xml:space="preserve"> En términos acumulados, el ingreso primerio reflejó un déficit de 900.8 millones de dólares (-US$902.5 millones en el mismo período de 2022); en tanto que el ingreso secundario acumuló un superávit de 3,442.6 millones de dólares en el período enero-septiembre de 2023 (US$2,283.4 millones en igual período de 2022), asociado principalmente al ingreso de remesas en dicho período (US$3,433.5 millones).</w:t>
      </w:r>
    </w:p>
    <w:p w:rsidR="00D86268" w:rsidRDefault="00D86268" w:rsidP="00834829">
      <w:pPr>
        <w:spacing w:after="0" w:line="276" w:lineRule="auto"/>
        <w:jc w:val="both"/>
        <w:rPr>
          <w:rFonts w:ascii="Futura Lt BT" w:hAnsi="Futura Lt BT" w:cs="Courier New"/>
          <w:sz w:val="24"/>
          <w:szCs w:val="24"/>
          <w:lang w:val="es-MX"/>
        </w:rPr>
      </w:pPr>
    </w:p>
    <w:p w:rsidR="00906339" w:rsidRPr="002979FC" w:rsidRDefault="005C2B12" w:rsidP="00834829">
      <w:pPr>
        <w:spacing w:after="0" w:line="276" w:lineRule="auto"/>
        <w:jc w:val="both"/>
        <w:rPr>
          <w:rFonts w:ascii="Futura Lt BT" w:hAnsi="Futura Lt BT" w:cs="Courier New"/>
          <w:sz w:val="24"/>
          <w:szCs w:val="24"/>
          <w:lang w:val="es-MX"/>
        </w:rPr>
      </w:pPr>
      <w:r w:rsidRPr="002979FC">
        <w:rPr>
          <w:rFonts w:ascii="Futura Lt BT" w:hAnsi="Futura Lt BT" w:cs="Courier New"/>
          <w:sz w:val="24"/>
          <w:szCs w:val="24"/>
          <w:lang w:val="es-MX"/>
        </w:rPr>
        <w:t xml:space="preserve">Como resultado de lo anterior, </w:t>
      </w:r>
      <w:r w:rsidR="007F352D" w:rsidRPr="002979FC">
        <w:rPr>
          <w:rFonts w:ascii="Futura Lt BT" w:hAnsi="Futura Lt BT" w:cs="Courier New"/>
          <w:sz w:val="24"/>
          <w:szCs w:val="24"/>
          <w:lang w:val="es-MX"/>
        </w:rPr>
        <w:t xml:space="preserve">la cuenta corriente de la balanza de pagos reflejó un superávit de </w:t>
      </w:r>
      <w:r w:rsidR="00500D0E" w:rsidRPr="002979FC">
        <w:rPr>
          <w:rFonts w:ascii="Futura Lt BT" w:hAnsi="Futura Lt BT" w:cs="Courier New"/>
          <w:sz w:val="24"/>
          <w:szCs w:val="24"/>
          <w:lang w:val="es-MX"/>
        </w:rPr>
        <w:t>306.8</w:t>
      </w:r>
      <w:r w:rsidR="00F376DC" w:rsidRPr="002979FC">
        <w:rPr>
          <w:rFonts w:ascii="Futura Lt BT" w:hAnsi="Futura Lt BT" w:cs="Courier New"/>
          <w:sz w:val="24"/>
          <w:szCs w:val="24"/>
          <w:lang w:val="es-MX"/>
        </w:rPr>
        <w:t xml:space="preserve"> </w:t>
      </w:r>
      <w:r w:rsidR="007F352D" w:rsidRPr="002979FC">
        <w:rPr>
          <w:rFonts w:ascii="Futura Lt BT" w:hAnsi="Futura Lt BT" w:cs="Courier New"/>
          <w:sz w:val="24"/>
          <w:szCs w:val="24"/>
          <w:lang w:val="es-MX"/>
        </w:rPr>
        <w:t>millones de dólares</w:t>
      </w:r>
      <w:r w:rsidR="0015374F" w:rsidRPr="002979FC">
        <w:rPr>
          <w:rFonts w:ascii="Futura Lt BT" w:hAnsi="Futura Lt BT" w:cs="Courier New"/>
          <w:sz w:val="24"/>
          <w:szCs w:val="24"/>
          <w:lang w:val="es-MX"/>
        </w:rPr>
        <w:t xml:space="preserve"> en el trimestre</w:t>
      </w:r>
      <w:r w:rsidR="00634006" w:rsidRPr="002979FC">
        <w:rPr>
          <w:rFonts w:ascii="Futura Lt BT" w:hAnsi="Futura Lt BT" w:cs="Courier New"/>
          <w:sz w:val="24"/>
          <w:szCs w:val="24"/>
          <w:lang w:val="es-MX"/>
        </w:rPr>
        <w:t xml:space="preserve">, menor en </w:t>
      </w:r>
      <w:r w:rsidR="00500D0E" w:rsidRPr="002979FC">
        <w:rPr>
          <w:rFonts w:ascii="Futura Lt BT" w:hAnsi="Futura Lt BT" w:cs="Courier New"/>
          <w:sz w:val="24"/>
          <w:szCs w:val="24"/>
          <w:lang w:val="es-MX"/>
        </w:rPr>
        <w:t>95.2</w:t>
      </w:r>
      <w:r w:rsidR="00634006" w:rsidRPr="002979FC">
        <w:rPr>
          <w:rFonts w:ascii="Futura Lt BT" w:hAnsi="Futura Lt BT" w:cs="Courier New"/>
          <w:sz w:val="24"/>
          <w:szCs w:val="24"/>
          <w:lang w:val="es-MX"/>
        </w:rPr>
        <w:t xml:space="preserve"> millones al registrado en el trimestre anterior </w:t>
      </w:r>
      <w:r w:rsidR="006F1816" w:rsidRPr="002979FC">
        <w:rPr>
          <w:rFonts w:ascii="Futura Lt BT" w:hAnsi="Futura Lt BT" w:cs="Courier New"/>
          <w:sz w:val="24"/>
          <w:szCs w:val="24"/>
          <w:lang w:val="es-MX"/>
        </w:rPr>
        <w:t>(US$</w:t>
      </w:r>
      <w:r w:rsidR="004D1DD1" w:rsidRPr="002979FC">
        <w:rPr>
          <w:rFonts w:ascii="Futura Lt BT" w:hAnsi="Futura Lt BT" w:cs="Courier New"/>
          <w:sz w:val="24"/>
          <w:szCs w:val="24"/>
          <w:lang w:val="es-MX"/>
        </w:rPr>
        <w:t>4</w:t>
      </w:r>
      <w:r w:rsidR="00F376DC" w:rsidRPr="002979FC">
        <w:rPr>
          <w:rFonts w:ascii="Futura Lt BT" w:hAnsi="Futura Lt BT" w:cs="Courier New"/>
          <w:sz w:val="24"/>
          <w:szCs w:val="24"/>
          <w:lang w:val="es-MX"/>
        </w:rPr>
        <w:t>02</w:t>
      </w:r>
      <w:r w:rsidR="006F1816" w:rsidRPr="002979FC">
        <w:rPr>
          <w:rFonts w:ascii="Futura Lt BT" w:hAnsi="Futura Lt BT" w:cs="Courier New"/>
          <w:sz w:val="24"/>
          <w:szCs w:val="24"/>
          <w:lang w:val="es-MX"/>
        </w:rPr>
        <w:t>.</w:t>
      </w:r>
      <w:r w:rsidR="00F376DC" w:rsidRPr="002979FC">
        <w:rPr>
          <w:rFonts w:ascii="Futura Lt BT" w:hAnsi="Futura Lt BT" w:cs="Courier New"/>
          <w:sz w:val="24"/>
          <w:szCs w:val="24"/>
          <w:lang w:val="es-MX"/>
        </w:rPr>
        <w:t>0</w:t>
      </w:r>
      <w:r w:rsidR="006F1816" w:rsidRPr="002979FC">
        <w:rPr>
          <w:rFonts w:ascii="Futura Lt BT" w:hAnsi="Futura Lt BT" w:cs="Courier New"/>
          <w:sz w:val="24"/>
          <w:szCs w:val="24"/>
          <w:lang w:val="es-MX"/>
        </w:rPr>
        <w:t xml:space="preserve"> millones</w:t>
      </w:r>
      <w:r w:rsidR="00634006" w:rsidRPr="002979FC">
        <w:rPr>
          <w:rFonts w:ascii="Futura Lt BT" w:hAnsi="Futura Lt BT" w:cs="Courier New"/>
          <w:sz w:val="24"/>
          <w:szCs w:val="24"/>
          <w:lang w:val="es-MX"/>
        </w:rPr>
        <w:t xml:space="preserve">). El superávit </w:t>
      </w:r>
      <w:bookmarkStart w:id="9" w:name="_Hlk51157251"/>
      <w:r w:rsidR="00526784" w:rsidRPr="002979FC">
        <w:rPr>
          <w:rFonts w:ascii="Futura Lt BT" w:hAnsi="Futura Lt BT" w:cs="Courier New"/>
          <w:sz w:val="24"/>
          <w:szCs w:val="24"/>
          <w:lang w:val="es-MX"/>
        </w:rPr>
        <w:t xml:space="preserve">representó </w:t>
      </w:r>
      <w:r w:rsidR="000636F0" w:rsidRPr="002979FC">
        <w:rPr>
          <w:rFonts w:ascii="Futura Lt BT" w:hAnsi="Futura Lt BT" w:cs="Courier New"/>
          <w:sz w:val="24"/>
          <w:szCs w:val="24"/>
          <w:lang w:val="es-MX"/>
        </w:rPr>
        <w:t xml:space="preserve">el </w:t>
      </w:r>
      <w:r w:rsidR="00500D0E" w:rsidRPr="002979FC">
        <w:rPr>
          <w:rFonts w:ascii="Futura Lt BT" w:hAnsi="Futura Lt BT" w:cs="Courier New"/>
          <w:sz w:val="24"/>
          <w:szCs w:val="24"/>
          <w:lang w:val="es-MX"/>
        </w:rPr>
        <w:t>7.9</w:t>
      </w:r>
      <w:r w:rsidR="00526784" w:rsidRPr="002979FC">
        <w:rPr>
          <w:rFonts w:ascii="Futura Lt BT" w:hAnsi="Futura Lt BT" w:cs="Courier New"/>
          <w:sz w:val="24"/>
          <w:szCs w:val="24"/>
          <w:lang w:val="es-MX"/>
        </w:rPr>
        <w:t xml:space="preserve"> por ciento del </w:t>
      </w:r>
      <w:r w:rsidR="002B3F29" w:rsidRPr="002979FC">
        <w:rPr>
          <w:rFonts w:ascii="Futura Lt BT" w:hAnsi="Futura Lt BT" w:cs="Courier New"/>
          <w:sz w:val="24"/>
          <w:szCs w:val="24"/>
          <w:lang w:val="es-MX"/>
        </w:rPr>
        <w:t>P</w:t>
      </w:r>
      <w:r w:rsidR="00526784" w:rsidRPr="002979FC">
        <w:rPr>
          <w:rFonts w:ascii="Futura Lt BT" w:hAnsi="Futura Lt BT" w:cs="Courier New"/>
          <w:sz w:val="24"/>
          <w:szCs w:val="24"/>
          <w:lang w:val="es-MX"/>
        </w:rPr>
        <w:t xml:space="preserve">roducto </w:t>
      </w:r>
      <w:r w:rsidR="002B3F29" w:rsidRPr="002979FC">
        <w:rPr>
          <w:rFonts w:ascii="Futura Lt BT" w:hAnsi="Futura Lt BT" w:cs="Courier New"/>
          <w:sz w:val="24"/>
          <w:szCs w:val="24"/>
          <w:lang w:val="es-MX"/>
        </w:rPr>
        <w:t>I</w:t>
      </w:r>
      <w:r w:rsidR="00526784" w:rsidRPr="002979FC">
        <w:rPr>
          <w:rFonts w:ascii="Futura Lt BT" w:hAnsi="Futura Lt BT" w:cs="Courier New"/>
          <w:sz w:val="24"/>
          <w:szCs w:val="24"/>
          <w:lang w:val="es-MX"/>
        </w:rPr>
        <w:t xml:space="preserve">nterno </w:t>
      </w:r>
      <w:r w:rsidR="002B3F29" w:rsidRPr="002979FC">
        <w:rPr>
          <w:rFonts w:ascii="Futura Lt BT" w:hAnsi="Futura Lt BT" w:cs="Courier New"/>
          <w:sz w:val="24"/>
          <w:szCs w:val="24"/>
          <w:lang w:val="es-MX"/>
        </w:rPr>
        <w:t>B</w:t>
      </w:r>
      <w:r w:rsidR="00526784" w:rsidRPr="002979FC">
        <w:rPr>
          <w:rFonts w:ascii="Futura Lt BT" w:hAnsi="Futura Lt BT" w:cs="Courier New"/>
          <w:sz w:val="24"/>
          <w:szCs w:val="24"/>
          <w:lang w:val="es-MX"/>
        </w:rPr>
        <w:t>ruto</w:t>
      </w:r>
      <w:r w:rsidR="002B3F29" w:rsidRPr="002979FC">
        <w:rPr>
          <w:rFonts w:ascii="Futura Lt BT" w:hAnsi="Futura Lt BT" w:cs="Courier New"/>
          <w:sz w:val="24"/>
          <w:szCs w:val="24"/>
          <w:lang w:val="es-MX"/>
        </w:rPr>
        <w:t xml:space="preserve"> (PIB)</w:t>
      </w:r>
      <w:r w:rsidR="00634006" w:rsidRPr="002979FC">
        <w:rPr>
          <w:rFonts w:ascii="Futura Lt BT" w:hAnsi="Futura Lt BT" w:cs="Courier New"/>
          <w:sz w:val="24"/>
          <w:szCs w:val="24"/>
          <w:lang w:val="es-MX"/>
        </w:rPr>
        <w:t xml:space="preserve">, siendo </w:t>
      </w:r>
      <w:r w:rsidR="00341354" w:rsidRPr="002979FC">
        <w:rPr>
          <w:rFonts w:ascii="Futura Lt BT" w:hAnsi="Futura Lt BT" w:cs="Courier New"/>
          <w:sz w:val="24"/>
          <w:szCs w:val="24"/>
          <w:lang w:val="es-MX"/>
        </w:rPr>
        <w:t>menor</w:t>
      </w:r>
      <w:r w:rsidR="00A3481D" w:rsidRPr="002979FC">
        <w:rPr>
          <w:rFonts w:ascii="Futura Lt BT" w:hAnsi="Futura Lt BT" w:cs="Courier New"/>
          <w:sz w:val="24"/>
          <w:szCs w:val="24"/>
          <w:lang w:val="es-MX"/>
        </w:rPr>
        <w:t xml:space="preserve"> en </w:t>
      </w:r>
      <w:r w:rsidR="00500D0E" w:rsidRPr="002979FC">
        <w:rPr>
          <w:rFonts w:ascii="Futura Lt BT" w:hAnsi="Futura Lt BT" w:cs="Courier New"/>
          <w:sz w:val="24"/>
          <w:szCs w:val="24"/>
          <w:lang w:val="es-MX"/>
        </w:rPr>
        <w:t>1.6</w:t>
      </w:r>
      <w:r w:rsidR="00A3481D" w:rsidRPr="002979FC">
        <w:rPr>
          <w:rFonts w:ascii="Futura Lt BT" w:hAnsi="Futura Lt BT" w:cs="Courier New"/>
          <w:sz w:val="24"/>
          <w:szCs w:val="24"/>
          <w:lang w:val="es-MX"/>
        </w:rPr>
        <w:t xml:space="preserve"> </w:t>
      </w:r>
      <w:r w:rsidR="00634006" w:rsidRPr="002979FC">
        <w:rPr>
          <w:rFonts w:ascii="Futura Lt BT" w:hAnsi="Futura Lt BT" w:cs="Courier New"/>
          <w:sz w:val="24"/>
          <w:szCs w:val="24"/>
          <w:lang w:val="es-MX"/>
        </w:rPr>
        <w:t>puntos porcentuales</w:t>
      </w:r>
      <w:r w:rsidR="00A3481D" w:rsidRPr="002979FC">
        <w:rPr>
          <w:rFonts w:ascii="Futura Lt BT" w:hAnsi="Futura Lt BT" w:cs="Courier New"/>
          <w:sz w:val="24"/>
          <w:szCs w:val="24"/>
          <w:lang w:val="es-MX"/>
        </w:rPr>
        <w:t xml:space="preserve"> con respecto </w:t>
      </w:r>
      <w:r w:rsidR="00634006" w:rsidRPr="002979FC">
        <w:rPr>
          <w:rFonts w:ascii="Futura Lt BT" w:hAnsi="Futura Lt BT" w:cs="Courier New"/>
          <w:sz w:val="24"/>
          <w:szCs w:val="24"/>
          <w:lang w:val="es-MX"/>
        </w:rPr>
        <w:t>al trimestre anterior (</w:t>
      </w:r>
      <w:r w:rsidR="004D1DD1" w:rsidRPr="002979FC">
        <w:rPr>
          <w:rFonts w:ascii="Futura Lt BT" w:hAnsi="Futura Lt BT" w:cs="Courier New"/>
          <w:sz w:val="24"/>
          <w:szCs w:val="24"/>
          <w:lang w:val="es-MX"/>
        </w:rPr>
        <w:t>9</w:t>
      </w:r>
      <w:r w:rsidR="009E2E64" w:rsidRPr="002979FC">
        <w:rPr>
          <w:rFonts w:ascii="Futura Lt BT" w:hAnsi="Futura Lt BT" w:cs="Courier New"/>
          <w:sz w:val="24"/>
          <w:szCs w:val="24"/>
          <w:lang w:val="es-MX"/>
        </w:rPr>
        <w:t>.</w:t>
      </w:r>
      <w:r w:rsidR="00341354" w:rsidRPr="002979FC">
        <w:rPr>
          <w:rFonts w:ascii="Futura Lt BT" w:hAnsi="Futura Lt BT" w:cs="Courier New"/>
          <w:sz w:val="24"/>
          <w:szCs w:val="24"/>
          <w:lang w:val="es-MX"/>
        </w:rPr>
        <w:t>5</w:t>
      </w:r>
      <w:r w:rsidR="00634006" w:rsidRPr="002979FC">
        <w:rPr>
          <w:rFonts w:ascii="Futura Lt BT" w:hAnsi="Futura Lt BT" w:cs="Courier New"/>
          <w:sz w:val="24"/>
          <w:szCs w:val="24"/>
          <w:lang w:val="es-MX"/>
        </w:rPr>
        <w:t>%)</w:t>
      </w:r>
      <w:r w:rsidR="00526784" w:rsidRPr="002979FC">
        <w:rPr>
          <w:rFonts w:ascii="Futura Lt BT" w:hAnsi="Futura Lt BT" w:cs="Courier New"/>
          <w:sz w:val="24"/>
          <w:szCs w:val="24"/>
          <w:lang w:val="es-MX"/>
        </w:rPr>
        <w:t xml:space="preserve">. El resultado </w:t>
      </w:r>
      <w:r w:rsidR="00437DD8" w:rsidRPr="002979FC">
        <w:rPr>
          <w:rFonts w:ascii="Futura Lt BT" w:hAnsi="Futura Lt BT" w:cs="Courier New"/>
          <w:sz w:val="24"/>
          <w:szCs w:val="24"/>
          <w:lang w:val="es-MX"/>
        </w:rPr>
        <w:t xml:space="preserve">de la cuenta corriente </w:t>
      </w:r>
      <w:r w:rsidR="00526784" w:rsidRPr="002979FC">
        <w:rPr>
          <w:rFonts w:ascii="Futura Lt BT" w:hAnsi="Futura Lt BT" w:cs="Courier New"/>
          <w:sz w:val="24"/>
          <w:szCs w:val="24"/>
          <w:lang w:val="es-MX"/>
        </w:rPr>
        <w:t xml:space="preserve">se explicó </w:t>
      </w:r>
      <w:r w:rsidR="0032743A" w:rsidRPr="002979FC">
        <w:rPr>
          <w:rFonts w:ascii="Futura Lt BT" w:hAnsi="Futura Lt BT" w:cs="Courier New"/>
          <w:sz w:val="24"/>
          <w:szCs w:val="24"/>
          <w:lang w:val="es-MX"/>
        </w:rPr>
        <w:t>por el superávit del ingreso secundario (US$1,</w:t>
      </w:r>
      <w:r w:rsidR="004D1DD1" w:rsidRPr="002979FC">
        <w:rPr>
          <w:rFonts w:ascii="Futura Lt BT" w:hAnsi="Futura Lt BT" w:cs="Courier New"/>
          <w:sz w:val="24"/>
          <w:szCs w:val="24"/>
          <w:lang w:val="es-MX"/>
        </w:rPr>
        <w:t>220</w:t>
      </w:r>
      <w:r w:rsidR="0032743A" w:rsidRPr="002979FC">
        <w:rPr>
          <w:rFonts w:ascii="Futura Lt BT" w:hAnsi="Futura Lt BT" w:cs="Courier New"/>
          <w:sz w:val="24"/>
          <w:szCs w:val="24"/>
          <w:lang w:val="es-MX"/>
        </w:rPr>
        <w:t>.</w:t>
      </w:r>
      <w:r w:rsidR="004D1DD1" w:rsidRPr="002979FC">
        <w:rPr>
          <w:rFonts w:ascii="Futura Lt BT" w:hAnsi="Futura Lt BT" w:cs="Courier New"/>
          <w:sz w:val="24"/>
          <w:szCs w:val="24"/>
          <w:lang w:val="es-MX"/>
        </w:rPr>
        <w:t>0</w:t>
      </w:r>
      <w:r w:rsidR="0032743A" w:rsidRPr="002979FC">
        <w:rPr>
          <w:rFonts w:ascii="Futura Lt BT" w:hAnsi="Futura Lt BT" w:cs="Courier New"/>
          <w:sz w:val="24"/>
          <w:szCs w:val="24"/>
          <w:lang w:val="es-MX"/>
        </w:rPr>
        <w:t xml:space="preserve"> millones), el cual </w:t>
      </w:r>
      <w:r w:rsidR="003D4CDE" w:rsidRPr="002979FC">
        <w:rPr>
          <w:rFonts w:ascii="Futura Lt BT" w:hAnsi="Futura Lt BT" w:cs="Courier New"/>
          <w:sz w:val="24"/>
          <w:szCs w:val="24"/>
          <w:lang w:val="es-MX"/>
        </w:rPr>
        <w:t>superó al</w:t>
      </w:r>
      <w:r w:rsidR="0032743A" w:rsidRPr="002979FC">
        <w:rPr>
          <w:rFonts w:ascii="Futura Lt BT" w:hAnsi="Futura Lt BT" w:cs="Courier New"/>
          <w:sz w:val="24"/>
          <w:szCs w:val="24"/>
          <w:lang w:val="es-MX"/>
        </w:rPr>
        <w:t xml:space="preserve"> déficit comercial de bienes y servicios (-US$</w:t>
      </w:r>
      <w:r w:rsidR="00206E38" w:rsidRPr="002979FC">
        <w:rPr>
          <w:rFonts w:ascii="Futura Lt BT" w:hAnsi="Futura Lt BT" w:cs="Courier New"/>
          <w:sz w:val="24"/>
          <w:szCs w:val="24"/>
          <w:lang w:val="es-MX"/>
        </w:rPr>
        <w:t>621.8</w:t>
      </w:r>
      <w:r w:rsidR="0032743A" w:rsidRPr="002979FC">
        <w:rPr>
          <w:rFonts w:ascii="Futura Lt BT" w:hAnsi="Futura Lt BT" w:cs="Courier New"/>
          <w:sz w:val="24"/>
          <w:szCs w:val="24"/>
          <w:lang w:val="es-MX"/>
        </w:rPr>
        <w:t xml:space="preserve"> millones) y </w:t>
      </w:r>
      <w:r w:rsidR="002718F7" w:rsidRPr="002979FC">
        <w:rPr>
          <w:rFonts w:ascii="Futura Lt BT" w:hAnsi="Futura Lt BT" w:cs="Courier New"/>
          <w:sz w:val="24"/>
          <w:szCs w:val="24"/>
          <w:lang w:val="es-MX"/>
        </w:rPr>
        <w:t>a</w:t>
      </w:r>
      <w:r w:rsidR="0032743A" w:rsidRPr="002979FC">
        <w:rPr>
          <w:rFonts w:ascii="Futura Lt BT" w:hAnsi="Futura Lt BT" w:cs="Courier New"/>
          <w:sz w:val="24"/>
          <w:szCs w:val="24"/>
          <w:lang w:val="es-MX"/>
        </w:rPr>
        <w:t>l balance negativo de la renta de la inversión (-US$</w:t>
      </w:r>
      <w:r w:rsidR="00CB1FAD" w:rsidRPr="002979FC">
        <w:rPr>
          <w:rFonts w:ascii="Futura Lt BT" w:hAnsi="Futura Lt BT" w:cs="Courier New"/>
          <w:sz w:val="24"/>
          <w:szCs w:val="24"/>
          <w:lang w:val="es-MX"/>
        </w:rPr>
        <w:t>2</w:t>
      </w:r>
      <w:r w:rsidR="000F65E8" w:rsidRPr="002979FC">
        <w:rPr>
          <w:rFonts w:ascii="Futura Lt BT" w:hAnsi="Futura Lt BT" w:cs="Courier New"/>
          <w:sz w:val="24"/>
          <w:szCs w:val="24"/>
          <w:lang w:val="es-MX"/>
        </w:rPr>
        <w:t>91.</w:t>
      </w:r>
      <w:r w:rsidR="00246BAB" w:rsidRPr="002979FC">
        <w:rPr>
          <w:rFonts w:ascii="Futura Lt BT" w:hAnsi="Futura Lt BT" w:cs="Courier New"/>
          <w:sz w:val="24"/>
          <w:szCs w:val="24"/>
          <w:lang w:val="es-MX"/>
        </w:rPr>
        <w:t>4</w:t>
      </w:r>
      <w:r w:rsidR="0032743A" w:rsidRPr="002979FC">
        <w:rPr>
          <w:rFonts w:ascii="Futura Lt BT" w:hAnsi="Futura Lt BT" w:cs="Courier New"/>
          <w:sz w:val="24"/>
          <w:szCs w:val="24"/>
          <w:lang w:val="es-MX"/>
        </w:rPr>
        <w:t xml:space="preserve"> millones)</w:t>
      </w:r>
      <w:bookmarkEnd w:id="9"/>
      <w:r w:rsidR="007F352D" w:rsidRPr="002979FC">
        <w:rPr>
          <w:rFonts w:ascii="Futura Lt BT" w:hAnsi="Futura Lt BT" w:cs="Courier New"/>
          <w:sz w:val="24"/>
          <w:szCs w:val="24"/>
          <w:lang w:val="es-MX"/>
        </w:rPr>
        <w:t>.</w:t>
      </w:r>
    </w:p>
    <w:p w:rsidR="00906339" w:rsidRPr="002979FC" w:rsidRDefault="00906339" w:rsidP="00834829">
      <w:pPr>
        <w:spacing w:after="0" w:line="276" w:lineRule="auto"/>
        <w:jc w:val="both"/>
        <w:rPr>
          <w:rFonts w:ascii="Futura Lt BT" w:hAnsi="Futura Lt BT" w:cs="Courier New"/>
          <w:sz w:val="24"/>
          <w:szCs w:val="24"/>
          <w:lang w:val="es-MX"/>
        </w:rPr>
      </w:pPr>
    </w:p>
    <w:p w:rsidR="002D6429" w:rsidRPr="00317203" w:rsidRDefault="002D6429" w:rsidP="00834829">
      <w:pPr>
        <w:spacing w:after="0" w:line="276" w:lineRule="auto"/>
        <w:jc w:val="both"/>
        <w:rPr>
          <w:rFonts w:ascii="Futura Lt BT" w:hAnsi="Futura Lt BT" w:cs="Courier New"/>
          <w:sz w:val="24"/>
          <w:szCs w:val="24"/>
          <w:lang w:val="es-MX"/>
        </w:rPr>
      </w:pPr>
      <w:r w:rsidRPr="002979FC">
        <w:rPr>
          <w:rFonts w:ascii="Futura Lt BT" w:hAnsi="Futura Lt BT" w:cs="Courier New"/>
          <w:sz w:val="24"/>
          <w:szCs w:val="24"/>
          <w:lang w:val="es-MX"/>
        </w:rPr>
        <w:t xml:space="preserve">En términos acumulados, la cuenta corriente </w:t>
      </w:r>
      <w:r w:rsidR="006F1816" w:rsidRPr="002979FC">
        <w:rPr>
          <w:rFonts w:ascii="Futura Lt BT" w:hAnsi="Futura Lt BT" w:cs="Courier New"/>
          <w:sz w:val="24"/>
          <w:szCs w:val="24"/>
          <w:lang w:val="es-MX"/>
        </w:rPr>
        <w:t xml:space="preserve">fue superavitaria en </w:t>
      </w:r>
      <w:r w:rsidR="00206E38" w:rsidRPr="002979FC">
        <w:rPr>
          <w:rFonts w:ascii="Futura Lt BT" w:hAnsi="Futura Lt BT" w:cs="Courier New"/>
          <w:sz w:val="24"/>
          <w:szCs w:val="24"/>
          <w:lang w:val="es-MX"/>
        </w:rPr>
        <w:t>1,201.6</w:t>
      </w:r>
      <w:r w:rsidR="00AB33D7" w:rsidRPr="002979FC">
        <w:rPr>
          <w:rFonts w:ascii="Futura Lt BT" w:hAnsi="Futura Lt BT" w:cs="Courier New"/>
          <w:sz w:val="24"/>
          <w:szCs w:val="24"/>
          <w:lang w:val="es-MX"/>
        </w:rPr>
        <w:t xml:space="preserve"> millones de dólares (</w:t>
      </w:r>
      <w:r w:rsidR="000F65E8" w:rsidRPr="002979FC">
        <w:rPr>
          <w:rFonts w:ascii="Futura Lt BT" w:hAnsi="Futura Lt BT" w:cs="Courier New"/>
          <w:sz w:val="24"/>
          <w:szCs w:val="24"/>
          <w:lang w:val="es-MX"/>
        </w:rPr>
        <w:t>9</w:t>
      </w:r>
      <w:r w:rsidR="009E7CCD" w:rsidRPr="002979FC">
        <w:rPr>
          <w:rFonts w:ascii="Futura Lt BT" w:hAnsi="Futura Lt BT" w:cs="Courier New"/>
          <w:sz w:val="24"/>
          <w:szCs w:val="24"/>
          <w:lang w:val="es-MX"/>
        </w:rPr>
        <w:t>.</w:t>
      </w:r>
      <w:r w:rsidR="00206E38" w:rsidRPr="002979FC">
        <w:rPr>
          <w:rFonts w:ascii="Futura Lt BT" w:hAnsi="Futura Lt BT" w:cs="Courier New"/>
          <w:sz w:val="24"/>
          <w:szCs w:val="24"/>
          <w:lang w:val="es-MX"/>
        </w:rPr>
        <w:t>8</w:t>
      </w:r>
      <w:r w:rsidR="00AB33D7" w:rsidRPr="002979FC">
        <w:rPr>
          <w:rFonts w:ascii="Futura Lt BT" w:hAnsi="Futura Lt BT" w:cs="Courier New"/>
          <w:sz w:val="24"/>
          <w:szCs w:val="24"/>
          <w:lang w:val="es-MX"/>
        </w:rPr>
        <w:t xml:space="preserve">% del PIB), </w:t>
      </w:r>
      <w:r w:rsidR="007F6387" w:rsidRPr="002979FC">
        <w:rPr>
          <w:rFonts w:ascii="Futura Lt BT" w:hAnsi="Futura Lt BT" w:cs="Courier New"/>
          <w:sz w:val="24"/>
          <w:szCs w:val="24"/>
          <w:lang w:val="es-MX"/>
        </w:rPr>
        <w:t>resultado contrario</w:t>
      </w:r>
      <w:r w:rsidR="00AB33D7" w:rsidRPr="002979FC">
        <w:rPr>
          <w:rFonts w:ascii="Futura Lt BT" w:hAnsi="Futura Lt BT" w:cs="Courier New"/>
          <w:sz w:val="24"/>
          <w:szCs w:val="24"/>
          <w:lang w:val="es-MX"/>
        </w:rPr>
        <w:t xml:space="preserve"> al </w:t>
      </w:r>
      <w:r w:rsidR="007F6387" w:rsidRPr="002979FC">
        <w:rPr>
          <w:rFonts w:ascii="Futura Lt BT" w:hAnsi="Futura Lt BT" w:cs="Courier New"/>
          <w:sz w:val="24"/>
          <w:szCs w:val="24"/>
          <w:lang w:val="es-MX"/>
        </w:rPr>
        <w:t xml:space="preserve">déficit de </w:t>
      </w:r>
      <w:r w:rsidR="004C14F3" w:rsidRPr="002979FC">
        <w:rPr>
          <w:rFonts w:ascii="Futura Lt BT" w:hAnsi="Futura Lt BT" w:cs="Courier New"/>
          <w:sz w:val="24"/>
          <w:szCs w:val="24"/>
          <w:lang w:val="es-MX"/>
        </w:rPr>
        <w:t>199.9</w:t>
      </w:r>
      <w:r w:rsidR="007F6387" w:rsidRPr="002979FC">
        <w:rPr>
          <w:rFonts w:ascii="Futura Lt BT" w:hAnsi="Futura Lt BT" w:cs="Courier New"/>
          <w:sz w:val="24"/>
          <w:szCs w:val="24"/>
          <w:lang w:val="es-MX"/>
        </w:rPr>
        <w:t xml:space="preserve"> millones de dólares (-</w:t>
      </w:r>
      <w:r w:rsidR="004D1DD1" w:rsidRPr="002979FC">
        <w:rPr>
          <w:rFonts w:ascii="Futura Lt BT" w:hAnsi="Futura Lt BT" w:cs="Courier New"/>
          <w:sz w:val="24"/>
          <w:szCs w:val="24"/>
          <w:lang w:val="es-MX"/>
        </w:rPr>
        <w:t>1.</w:t>
      </w:r>
      <w:r w:rsidR="001577EC" w:rsidRPr="002979FC">
        <w:rPr>
          <w:rFonts w:ascii="Futura Lt BT" w:hAnsi="Futura Lt BT" w:cs="Courier New"/>
          <w:sz w:val="24"/>
          <w:szCs w:val="24"/>
          <w:lang w:val="es-MX"/>
        </w:rPr>
        <w:t>7</w:t>
      </w:r>
      <w:r w:rsidR="007F6387" w:rsidRPr="002979FC">
        <w:rPr>
          <w:rFonts w:ascii="Futura Lt BT" w:hAnsi="Futura Lt BT" w:cs="Courier New"/>
          <w:sz w:val="24"/>
          <w:szCs w:val="24"/>
          <w:lang w:val="es-MX"/>
        </w:rPr>
        <w:t xml:space="preserve">% del PIB) </w:t>
      </w:r>
      <w:r w:rsidR="00AB33D7" w:rsidRPr="002979FC">
        <w:rPr>
          <w:rFonts w:ascii="Futura Lt BT" w:hAnsi="Futura Lt BT" w:cs="Courier New"/>
          <w:sz w:val="24"/>
          <w:szCs w:val="24"/>
          <w:lang w:val="es-MX"/>
        </w:rPr>
        <w:t xml:space="preserve">registrado </w:t>
      </w:r>
      <w:r w:rsidR="007F6387" w:rsidRPr="002979FC">
        <w:rPr>
          <w:rFonts w:ascii="Futura Lt BT" w:hAnsi="Futura Lt BT" w:cs="Courier New"/>
          <w:sz w:val="24"/>
          <w:szCs w:val="24"/>
          <w:lang w:val="es-MX"/>
        </w:rPr>
        <w:t>en el mismo período d</w:t>
      </w:r>
      <w:r w:rsidR="00AB33D7" w:rsidRPr="002979FC">
        <w:rPr>
          <w:rFonts w:ascii="Futura Lt BT" w:hAnsi="Futura Lt BT" w:cs="Courier New"/>
          <w:sz w:val="24"/>
          <w:szCs w:val="24"/>
          <w:lang w:val="es-MX"/>
        </w:rPr>
        <w:t>el año anterior</w:t>
      </w:r>
      <w:r w:rsidR="003D4CDE" w:rsidRPr="002979FC">
        <w:rPr>
          <w:rFonts w:ascii="Futura Lt BT" w:hAnsi="Futura Lt BT" w:cs="Courier New"/>
          <w:sz w:val="24"/>
          <w:szCs w:val="24"/>
          <w:lang w:val="es-MX"/>
        </w:rPr>
        <w:t xml:space="preserve">. Lo anterior, también se debió </w:t>
      </w:r>
      <w:r w:rsidR="00CE546F" w:rsidRPr="002979FC">
        <w:rPr>
          <w:rFonts w:ascii="Futura Lt BT" w:hAnsi="Futura Lt BT" w:cs="Courier New"/>
          <w:sz w:val="24"/>
          <w:szCs w:val="24"/>
          <w:lang w:val="es-MX"/>
        </w:rPr>
        <w:t xml:space="preserve">al resultado positivo de </w:t>
      </w:r>
      <w:r w:rsidR="003D4CDE" w:rsidRPr="002979FC">
        <w:rPr>
          <w:rFonts w:ascii="Futura Lt BT" w:hAnsi="Futura Lt BT" w:cs="Courier New"/>
          <w:sz w:val="24"/>
          <w:szCs w:val="24"/>
          <w:lang w:val="es-MX"/>
        </w:rPr>
        <w:t xml:space="preserve">la </w:t>
      </w:r>
      <w:r w:rsidR="002B77D4" w:rsidRPr="002979FC">
        <w:rPr>
          <w:rFonts w:ascii="Futura Lt BT" w:hAnsi="Futura Lt BT" w:cs="Courier New"/>
          <w:sz w:val="24"/>
          <w:szCs w:val="24"/>
          <w:lang w:val="es-MX"/>
        </w:rPr>
        <w:t>cuenta del ingreso secundario</w:t>
      </w:r>
      <w:r w:rsidR="00CE546F" w:rsidRPr="002979FC">
        <w:rPr>
          <w:rFonts w:ascii="Futura Lt BT" w:hAnsi="Futura Lt BT" w:cs="Courier New"/>
          <w:sz w:val="24"/>
          <w:szCs w:val="24"/>
          <w:lang w:val="es-MX"/>
        </w:rPr>
        <w:t xml:space="preserve"> (US$</w:t>
      </w:r>
      <w:r w:rsidR="008B6DD6" w:rsidRPr="002979FC">
        <w:rPr>
          <w:rFonts w:ascii="Futura Lt BT" w:hAnsi="Futura Lt BT" w:cs="Courier New"/>
          <w:sz w:val="24"/>
          <w:szCs w:val="24"/>
          <w:lang w:val="es-MX"/>
        </w:rPr>
        <w:t>3</w:t>
      </w:r>
      <w:r w:rsidR="00CE546F" w:rsidRPr="002979FC">
        <w:rPr>
          <w:rFonts w:ascii="Futura Lt BT" w:hAnsi="Futura Lt BT" w:cs="Courier New"/>
          <w:sz w:val="24"/>
          <w:szCs w:val="24"/>
          <w:lang w:val="es-MX"/>
        </w:rPr>
        <w:t>,</w:t>
      </w:r>
      <w:r w:rsidR="008B6DD6" w:rsidRPr="002979FC">
        <w:rPr>
          <w:rFonts w:ascii="Futura Lt BT" w:hAnsi="Futura Lt BT" w:cs="Courier New"/>
          <w:sz w:val="24"/>
          <w:szCs w:val="24"/>
          <w:lang w:val="es-MX"/>
        </w:rPr>
        <w:t>44</w:t>
      </w:r>
      <w:r w:rsidR="00CE546F" w:rsidRPr="002979FC">
        <w:rPr>
          <w:rFonts w:ascii="Futura Lt BT" w:hAnsi="Futura Lt BT" w:cs="Courier New"/>
          <w:sz w:val="24"/>
          <w:szCs w:val="24"/>
          <w:lang w:val="es-MX"/>
        </w:rPr>
        <w:t>2.6 millones)</w:t>
      </w:r>
      <w:r w:rsidR="003D4CDE" w:rsidRPr="002979FC">
        <w:rPr>
          <w:rFonts w:ascii="Futura Lt BT" w:hAnsi="Futura Lt BT" w:cs="Courier New"/>
          <w:sz w:val="24"/>
          <w:szCs w:val="24"/>
          <w:lang w:val="es-MX"/>
        </w:rPr>
        <w:t xml:space="preserve">, </w:t>
      </w:r>
      <w:r w:rsidR="002B77D4" w:rsidRPr="002979FC">
        <w:rPr>
          <w:rFonts w:ascii="Futura Lt BT" w:hAnsi="Futura Lt BT" w:cs="Courier New"/>
          <w:sz w:val="24"/>
          <w:szCs w:val="24"/>
          <w:lang w:val="es-MX"/>
        </w:rPr>
        <w:t>como</w:t>
      </w:r>
      <w:r w:rsidR="002B77D4" w:rsidRPr="00317203">
        <w:rPr>
          <w:rFonts w:ascii="Futura Lt BT" w:hAnsi="Futura Lt BT" w:cs="Courier New"/>
          <w:sz w:val="24"/>
          <w:szCs w:val="24"/>
          <w:lang w:val="es-MX"/>
        </w:rPr>
        <w:t xml:space="preserve"> </w:t>
      </w:r>
      <w:r w:rsidR="002B77D4" w:rsidRPr="00317203">
        <w:rPr>
          <w:rFonts w:ascii="Futura Lt BT" w:hAnsi="Futura Lt BT" w:cs="Courier New"/>
          <w:sz w:val="24"/>
          <w:szCs w:val="24"/>
          <w:lang w:val="es-MX"/>
        </w:rPr>
        <w:lastRenderedPageBreak/>
        <w:t>consecuencia del</w:t>
      </w:r>
      <w:r w:rsidR="003D4CDE" w:rsidRPr="00317203">
        <w:rPr>
          <w:rFonts w:ascii="Futura Lt BT" w:hAnsi="Futura Lt BT" w:cs="Courier New"/>
          <w:sz w:val="24"/>
          <w:szCs w:val="24"/>
          <w:lang w:val="es-MX"/>
        </w:rPr>
        <w:t xml:space="preserve"> aumento de </w:t>
      </w:r>
      <w:r w:rsidR="00D07407" w:rsidRPr="00317203">
        <w:rPr>
          <w:rFonts w:ascii="Futura Lt BT" w:hAnsi="Futura Lt BT" w:cs="Courier New"/>
          <w:sz w:val="24"/>
          <w:szCs w:val="24"/>
          <w:lang w:val="es-MX"/>
        </w:rPr>
        <w:t xml:space="preserve">52.0 por ciento en </w:t>
      </w:r>
      <w:r w:rsidR="003D4CDE" w:rsidRPr="00317203">
        <w:rPr>
          <w:rFonts w:ascii="Futura Lt BT" w:hAnsi="Futura Lt BT" w:cs="Courier New"/>
          <w:sz w:val="24"/>
          <w:szCs w:val="24"/>
          <w:lang w:val="es-MX"/>
        </w:rPr>
        <w:t xml:space="preserve">los ingresos por remesas del exterior; </w:t>
      </w:r>
      <w:r w:rsidR="00CE546F" w:rsidRPr="00317203">
        <w:rPr>
          <w:rFonts w:ascii="Futura Lt BT" w:hAnsi="Futura Lt BT" w:cs="Courier New"/>
          <w:sz w:val="24"/>
          <w:szCs w:val="24"/>
          <w:lang w:val="es-MX"/>
        </w:rPr>
        <w:t xml:space="preserve">que superó </w:t>
      </w:r>
      <w:r w:rsidR="00AB33D7" w:rsidRPr="00317203">
        <w:rPr>
          <w:rFonts w:ascii="Futura Lt BT" w:hAnsi="Futura Lt BT" w:cs="Courier New"/>
          <w:sz w:val="24"/>
          <w:szCs w:val="24"/>
          <w:lang w:val="es-MX"/>
        </w:rPr>
        <w:t>el déficit de la balanza comercial de bienes y servicios</w:t>
      </w:r>
      <w:r w:rsidR="002B77D4" w:rsidRPr="00317203">
        <w:rPr>
          <w:rFonts w:ascii="Futura Lt BT" w:hAnsi="Futura Lt BT" w:cs="Courier New"/>
          <w:sz w:val="24"/>
          <w:szCs w:val="24"/>
          <w:lang w:val="es-MX"/>
        </w:rPr>
        <w:t xml:space="preserve"> </w:t>
      </w:r>
      <w:r w:rsidR="00DB4F45" w:rsidRPr="00317203">
        <w:rPr>
          <w:rFonts w:ascii="Futura Lt BT" w:hAnsi="Futura Lt BT" w:cs="Courier New"/>
          <w:sz w:val="24"/>
          <w:szCs w:val="24"/>
          <w:lang w:val="es-MX"/>
        </w:rPr>
        <w:t>(-</w:t>
      </w:r>
      <w:r w:rsidR="008A7304" w:rsidRPr="00317203">
        <w:rPr>
          <w:rFonts w:ascii="Futura Lt BT" w:hAnsi="Futura Lt BT" w:cs="Courier New"/>
          <w:sz w:val="24"/>
          <w:szCs w:val="24"/>
          <w:lang w:val="es-MX"/>
        </w:rPr>
        <w:t>US$</w:t>
      </w:r>
      <w:r w:rsidR="008B6DD6" w:rsidRPr="00317203">
        <w:rPr>
          <w:rFonts w:ascii="Futura Lt BT" w:hAnsi="Futura Lt BT" w:cs="Courier New"/>
          <w:sz w:val="24"/>
          <w:szCs w:val="24"/>
          <w:lang w:val="es-MX"/>
        </w:rPr>
        <w:t>1</w:t>
      </w:r>
      <w:r w:rsidR="00287454" w:rsidRPr="00317203">
        <w:rPr>
          <w:rFonts w:ascii="Futura Lt BT" w:hAnsi="Futura Lt BT" w:cs="Courier New"/>
          <w:sz w:val="24"/>
          <w:szCs w:val="24"/>
          <w:lang w:val="es-MX"/>
        </w:rPr>
        <w:t>,</w:t>
      </w:r>
      <w:r w:rsidR="00206E38">
        <w:rPr>
          <w:rFonts w:ascii="Futura Lt BT" w:hAnsi="Futura Lt BT" w:cs="Courier New"/>
          <w:sz w:val="24"/>
          <w:szCs w:val="24"/>
          <w:lang w:val="es-MX"/>
        </w:rPr>
        <w:t>340.2</w:t>
      </w:r>
      <w:r w:rsidR="00287454" w:rsidRPr="00317203">
        <w:rPr>
          <w:rFonts w:ascii="Futura Lt BT" w:hAnsi="Futura Lt BT" w:cs="Courier New"/>
          <w:sz w:val="24"/>
          <w:szCs w:val="24"/>
          <w:lang w:val="es-MX"/>
        </w:rPr>
        <w:t xml:space="preserve"> </w:t>
      </w:r>
      <w:r w:rsidR="008A7304" w:rsidRPr="00317203">
        <w:rPr>
          <w:rFonts w:ascii="Futura Lt BT" w:hAnsi="Futura Lt BT" w:cs="Courier New"/>
          <w:sz w:val="24"/>
          <w:szCs w:val="24"/>
          <w:lang w:val="es-MX"/>
        </w:rPr>
        <w:t>millones)</w:t>
      </w:r>
      <w:r w:rsidR="002B77D4" w:rsidRPr="00317203">
        <w:rPr>
          <w:rFonts w:ascii="Futura Lt BT" w:hAnsi="Futura Lt BT" w:cs="Courier New"/>
          <w:sz w:val="24"/>
          <w:szCs w:val="24"/>
          <w:lang w:val="es-MX"/>
        </w:rPr>
        <w:t xml:space="preserve"> y el balance negativo de la cuenta del ingreso primario (-US$</w:t>
      </w:r>
      <w:r w:rsidR="00287454" w:rsidRPr="00317203">
        <w:rPr>
          <w:rFonts w:ascii="Futura Lt BT" w:hAnsi="Futura Lt BT" w:cs="Courier New"/>
          <w:sz w:val="24"/>
          <w:szCs w:val="24"/>
          <w:lang w:val="es-MX"/>
        </w:rPr>
        <w:t>900</w:t>
      </w:r>
      <w:r w:rsidR="002B77D4" w:rsidRPr="00317203">
        <w:rPr>
          <w:rFonts w:ascii="Futura Lt BT" w:hAnsi="Futura Lt BT" w:cs="Courier New"/>
          <w:sz w:val="24"/>
          <w:szCs w:val="24"/>
          <w:lang w:val="es-MX"/>
        </w:rPr>
        <w:t>.</w:t>
      </w:r>
      <w:r w:rsidR="00287454" w:rsidRPr="00317203">
        <w:rPr>
          <w:rFonts w:ascii="Futura Lt BT" w:hAnsi="Futura Lt BT" w:cs="Courier New"/>
          <w:sz w:val="24"/>
          <w:szCs w:val="24"/>
          <w:lang w:val="es-MX"/>
        </w:rPr>
        <w:t>8</w:t>
      </w:r>
      <w:r w:rsidR="002B77D4" w:rsidRPr="00317203">
        <w:rPr>
          <w:rFonts w:ascii="Futura Lt BT" w:hAnsi="Futura Lt BT" w:cs="Courier New"/>
          <w:sz w:val="24"/>
          <w:szCs w:val="24"/>
          <w:lang w:val="es-MX"/>
        </w:rPr>
        <w:t xml:space="preserve"> millones).</w:t>
      </w:r>
    </w:p>
    <w:p w:rsidR="00AB33D7" w:rsidRDefault="00AB33D7" w:rsidP="00834829">
      <w:pPr>
        <w:spacing w:after="0" w:line="276" w:lineRule="auto"/>
        <w:jc w:val="both"/>
        <w:rPr>
          <w:rFonts w:ascii="Futura Lt BT" w:hAnsi="Futura Lt BT" w:cs="Courier New"/>
          <w:sz w:val="24"/>
          <w:szCs w:val="24"/>
          <w:lang w:val="es-MX"/>
        </w:rPr>
      </w:pPr>
    </w:p>
    <w:p w:rsidR="003440D3" w:rsidRPr="00317203" w:rsidRDefault="00895612" w:rsidP="003440D3">
      <w:pPr>
        <w:pStyle w:val="Estilo2"/>
        <w:numPr>
          <w:ilvl w:val="0"/>
          <w:numId w:val="4"/>
        </w:numPr>
        <w:jc w:val="left"/>
        <w:rPr>
          <w:b w:val="0"/>
          <w:bCs w:val="0"/>
        </w:rPr>
      </w:pPr>
      <w:r>
        <w:t>Principales r</w:t>
      </w:r>
      <w:r w:rsidR="002C10A6" w:rsidRPr="00317203">
        <w:t xml:space="preserve">esultados de la </w:t>
      </w:r>
      <w:r>
        <w:t>C</w:t>
      </w:r>
      <w:r w:rsidR="002C10A6" w:rsidRPr="00317203">
        <w:t>uenta de Capital y Financiera</w:t>
      </w:r>
      <w:r w:rsidR="002C10A6" w:rsidRPr="00317203">
        <w:rPr>
          <w:rStyle w:val="Refdenotaalpie"/>
        </w:rPr>
        <w:footnoteReference w:id="3"/>
      </w:r>
    </w:p>
    <w:p w:rsidR="003440D3" w:rsidRPr="00317203" w:rsidRDefault="003440D3" w:rsidP="003440D3">
      <w:pPr>
        <w:spacing w:after="0" w:line="240" w:lineRule="auto"/>
        <w:jc w:val="both"/>
        <w:rPr>
          <w:rFonts w:ascii="Futura Lt BT" w:hAnsi="Futura Lt BT"/>
          <w:sz w:val="24"/>
          <w:szCs w:val="24"/>
        </w:rPr>
      </w:pPr>
    </w:p>
    <w:p w:rsidR="00EA11CB" w:rsidRPr="00317203" w:rsidRDefault="002C10A6" w:rsidP="000200A3">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 xml:space="preserve">La cuenta de capital presentó un superávit </w:t>
      </w:r>
      <w:bookmarkStart w:id="10" w:name="_Hlk51159141"/>
      <w:r w:rsidRPr="00317203">
        <w:rPr>
          <w:rFonts w:ascii="Futura Lt BT" w:hAnsi="Futura Lt BT" w:cs="Courier New"/>
          <w:sz w:val="24"/>
          <w:szCs w:val="24"/>
          <w:lang w:val="es-MX"/>
        </w:rPr>
        <w:t>de 1</w:t>
      </w:r>
      <w:r w:rsidR="00307774" w:rsidRPr="00317203">
        <w:rPr>
          <w:rFonts w:ascii="Futura Lt BT" w:hAnsi="Futura Lt BT" w:cs="Courier New"/>
          <w:sz w:val="24"/>
          <w:szCs w:val="24"/>
          <w:lang w:val="es-MX"/>
        </w:rPr>
        <w:t>5</w:t>
      </w:r>
      <w:r w:rsidRPr="00317203">
        <w:rPr>
          <w:rFonts w:ascii="Futura Lt BT" w:hAnsi="Futura Lt BT" w:cs="Courier New"/>
          <w:sz w:val="24"/>
          <w:szCs w:val="24"/>
          <w:lang w:val="es-MX"/>
        </w:rPr>
        <w:t>.</w:t>
      </w:r>
      <w:r w:rsidR="00307774" w:rsidRPr="00317203">
        <w:rPr>
          <w:rFonts w:ascii="Futura Lt BT" w:hAnsi="Futura Lt BT" w:cs="Courier New"/>
          <w:sz w:val="24"/>
          <w:szCs w:val="24"/>
          <w:lang w:val="es-MX"/>
        </w:rPr>
        <w:t>4</w:t>
      </w:r>
      <w:r w:rsidRPr="00317203">
        <w:rPr>
          <w:rFonts w:ascii="Futura Lt BT" w:hAnsi="Futura Lt BT" w:cs="Courier New"/>
          <w:sz w:val="24"/>
          <w:szCs w:val="24"/>
          <w:lang w:val="es-MX"/>
        </w:rPr>
        <w:t xml:space="preserve"> millones de dólares en el </w:t>
      </w:r>
      <w:r w:rsidR="00307774" w:rsidRPr="00317203">
        <w:rPr>
          <w:rFonts w:ascii="Futura Lt BT" w:hAnsi="Futura Lt BT" w:cs="Courier New"/>
          <w:sz w:val="24"/>
          <w:szCs w:val="24"/>
          <w:lang w:val="es-MX"/>
        </w:rPr>
        <w:t>tercer</w:t>
      </w:r>
      <w:r w:rsidRPr="00317203">
        <w:rPr>
          <w:rFonts w:ascii="Futura Lt BT" w:hAnsi="Futura Lt BT" w:cs="Courier New"/>
          <w:sz w:val="24"/>
          <w:szCs w:val="24"/>
          <w:lang w:val="es-MX"/>
        </w:rPr>
        <w:t xml:space="preserve"> trimestre </w:t>
      </w:r>
      <w:r w:rsidR="00022E6E" w:rsidRPr="00317203">
        <w:rPr>
          <w:rFonts w:ascii="Futura Lt BT" w:hAnsi="Futura Lt BT" w:cs="Courier New"/>
          <w:sz w:val="24"/>
          <w:szCs w:val="24"/>
          <w:lang w:val="es-MX"/>
        </w:rPr>
        <w:t>del año</w:t>
      </w:r>
      <w:r w:rsidR="00C161F7" w:rsidRPr="00317203">
        <w:rPr>
          <w:rFonts w:ascii="Futura Lt BT" w:hAnsi="Futura Lt BT" w:cs="Courier New"/>
          <w:sz w:val="24"/>
          <w:szCs w:val="24"/>
          <w:lang w:val="es-MX"/>
        </w:rPr>
        <w:t xml:space="preserve"> </w:t>
      </w:r>
      <w:r w:rsidRPr="00317203">
        <w:rPr>
          <w:rFonts w:ascii="Futura Lt BT" w:hAnsi="Futura Lt BT" w:cs="Courier New"/>
          <w:sz w:val="24"/>
          <w:szCs w:val="24"/>
          <w:lang w:val="es-MX"/>
        </w:rPr>
        <w:t>(US$</w:t>
      </w:r>
      <w:r w:rsidR="00FF7B56" w:rsidRPr="00317203">
        <w:rPr>
          <w:rFonts w:ascii="Futura Lt BT" w:hAnsi="Futura Lt BT" w:cs="Courier New"/>
          <w:sz w:val="24"/>
          <w:szCs w:val="24"/>
          <w:lang w:val="es-MX"/>
        </w:rPr>
        <w:t>1</w:t>
      </w:r>
      <w:r w:rsidR="00307774" w:rsidRPr="00317203">
        <w:rPr>
          <w:rFonts w:ascii="Futura Lt BT" w:hAnsi="Futura Lt BT" w:cs="Courier New"/>
          <w:sz w:val="24"/>
          <w:szCs w:val="24"/>
          <w:lang w:val="es-MX"/>
        </w:rPr>
        <w:t>5</w:t>
      </w:r>
      <w:r w:rsidRPr="00317203">
        <w:rPr>
          <w:rFonts w:ascii="Futura Lt BT" w:hAnsi="Futura Lt BT" w:cs="Courier New"/>
          <w:sz w:val="24"/>
          <w:szCs w:val="24"/>
          <w:lang w:val="es-MX"/>
        </w:rPr>
        <w:t>.</w:t>
      </w:r>
      <w:r w:rsidR="00307774" w:rsidRPr="00317203">
        <w:rPr>
          <w:rFonts w:ascii="Futura Lt BT" w:hAnsi="Futura Lt BT" w:cs="Courier New"/>
          <w:sz w:val="24"/>
          <w:szCs w:val="24"/>
          <w:lang w:val="es-MX"/>
        </w:rPr>
        <w:t>0</w:t>
      </w:r>
      <w:r w:rsidRPr="00317203">
        <w:rPr>
          <w:rFonts w:ascii="Futura Lt BT" w:hAnsi="Futura Lt BT" w:cs="Courier New"/>
          <w:sz w:val="24"/>
          <w:szCs w:val="24"/>
          <w:lang w:val="es-MX"/>
        </w:rPr>
        <w:t xml:space="preserve"> millones en </w:t>
      </w:r>
      <w:r w:rsidR="00022E6E" w:rsidRPr="00317203">
        <w:rPr>
          <w:rFonts w:ascii="Futura Lt BT" w:hAnsi="Futura Lt BT" w:cs="Courier New"/>
          <w:sz w:val="24"/>
          <w:szCs w:val="24"/>
          <w:lang w:val="es-MX"/>
        </w:rPr>
        <w:t>I</w:t>
      </w:r>
      <w:r w:rsidR="00FF7B56" w:rsidRPr="00317203">
        <w:rPr>
          <w:rFonts w:ascii="Futura Lt BT" w:hAnsi="Futura Lt BT" w:cs="Courier New"/>
          <w:sz w:val="24"/>
          <w:szCs w:val="24"/>
          <w:lang w:val="es-MX"/>
        </w:rPr>
        <w:t>I</w:t>
      </w:r>
      <w:r w:rsidR="00307774" w:rsidRPr="00317203">
        <w:rPr>
          <w:rFonts w:ascii="Futura Lt BT" w:hAnsi="Futura Lt BT" w:cs="Courier New"/>
          <w:sz w:val="24"/>
          <w:szCs w:val="24"/>
          <w:lang w:val="es-MX"/>
        </w:rPr>
        <w:t>I</w:t>
      </w:r>
      <w:r w:rsidR="00022E6E" w:rsidRPr="00317203">
        <w:rPr>
          <w:rFonts w:ascii="Futura Lt BT" w:hAnsi="Futura Lt BT" w:cs="Courier New"/>
          <w:sz w:val="24"/>
          <w:szCs w:val="24"/>
          <w:lang w:val="es-MX"/>
        </w:rPr>
        <w:t xml:space="preserve"> trimestre </w:t>
      </w:r>
      <w:r w:rsidRPr="00317203">
        <w:rPr>
          <w:rFonts w:ascii="Futura Lt BT" w:hAnsi="Futura Lt BT" w:cs="Courier New"/>
          <w:sz w:val="24"/>
          <w:szCs w:val="24"/>
          <w:lang w:val="es-MX"/>
        </w:rPr>
        <w:t xml:space="preserve">2022), como resultado del ingreso de transferencias netas de capital (donaciones) recibidas </w:t>
      </w:r>
      <w:r w:rsidR="004E5F61" w:rsidRPr="00317203">
        <w:rPr>
          <w:rFonts w:ascii="Futura Lt BT" w:hAnsi="Futura Lt BT" w:cs="Courier New"/>
          <w:sz w:val="24"/>
          <w:szCs w:val="24"/>
          <w:lang w:val="es-MX"/>
        </w:rPr>
        <w:t xml:space="preserve">en su totalidad </w:t>
      </w:r>
      <w:r w:rsidRPr="00317203">
        <w:rPr>
          <w:rFonts w:ascii="Futura Lt BT" w:hAnsi="Futura Lt BT" w:cs="Courier New"/>
          <w:sz w:val="24"/>
          <w:szCs w:val="24"/>
          <w:lang w:val="es-MX"/>
        </w:rPr>
        <w:t xml:space="preserve">por el </w:t>
      </w:r>
      <w:bookmarkEnd w:id="10"/>
      <w:r w:rsidR="004E5F61" w:rsidRPr="00317203">
        <w:rPr>
          <w:rFonts w:ascii="Futura Lt BT" w:hAnsi="Futura Lt BT" w:cs="Courier New"/>
          <w:sz w:val="24"/>
          <w:szCs w:val="24"/>
          <w:lang w:val="es-MX"/>
        </w:rPr>
        <w:t>Gobierno Central</w:t>
      </w:r>
      <w:r w:rsidRPr="00317203">
        <w:rPr>
          <w:rFonts w:ascii="Futura Lt BT" w:hAnsi="Futura Lt BT" w:cs="Courier New"/>
          <w:sz w:val="24"/>
          <w:szCs w:val="24"/>
          <w:lang w:val="es-MX"/>
        </w:rPr>
        <w:t>.</w:t>
      </w:r>
      <w:bookmarkStart w:id="11" w:name="_Hlk98755900"/>
      <w:r w:rsidR="00103118">
        <w:rPr>
          <w:rFonts w:ascii="Futura Lt BT" w:hAnsi="Futura Lt BT" w:cs="Courier New"/>
          <w:sz w:val="24"/>
          <w:szCs w:val="24"/>
          <w:lang w:val="es-MX"/>
        </w:rPr>
        <w:t xml:space="preserve"> Así, las </w:t>
      </w:r>
      <w:r w:rsidR="00153893">
        <w:rPr>
          <w:rFonts w:ascii="Futura Lt BT" w:hAnsi="Futura Lt BT" w:cs="Courier New"/>
          <w:sz w:val="24"/>
          <w:szCs w:val="24"/>
          <w:lang w:val="es-MX"/>
        </w:rPr>
        <w:t>donaciones recibidas por el Gobierno totalizaron 19.0 millones de dólares durante el período enero-septiembre de 2023.</w:t>
      </w:r>
    </w:p>
    <w:p w:rsidR="00EA11CB" w:rsidRPr="00317203" w:rsidRDefault="00EA11CB" w:rsidP="000200A3">
      <w:pPr>
        <w:spacing w:after="0" w:line="276" w:lineRule="auto"/>
        <w:jc w:val="both"/>
        <w:rPr>
          <w:rFonts w:cs="Courier New"/>
        </w:rPr>
      </w:pPr>
    </w:p>
    <w:p w:rsidR="002C10A6" w:rsidRPr="00317203" w:rsidRDefault="002C10A6" w:rsidP="000200A3">
      <w:pPr>
        <w:spacing w:after="0" w:line="276" w:lineRule="auto"/>
        <w:jc w:val="both"/>
        <w:rPr>
          <w:rFonts w:ascii="Futura Lt BT" w:hAnsi="Futura Lt BT" w:cs="Courier New"/>
          <w:sz w:val="24"/>
          <w:szCs w:val="24"/>
          <w:lang w:val="es-MX"/>
        </w:rPr>
      </w:pPr>
      <w:r w:rsidRPr="00317203">
        <w:rPr>
          <w:rFonts w:ascii="Futura Lt BT" w:hAnsi="Futura Lt BT" w:cs="Courier New"/>
          <w:sz w:val="24"/>
          <w:szCs w:val="24"/>
          <w:lang w:val="es-MX"/>
        </w:rPr>
        <w:t xml:space="preserve">Por su parte, la cuenta financiera presentó un saldo </w:t>
      </w:r>
      <w:r w:rsidR="00307774" w:rsidRPr="00317203">
        <w:rPr>
          <w:rFonts w:ascii="Futura Lt BT" w:hAnsi="Futura Lt BT" w:cs="Courier New"/>
          <w:sz w:val="24"/>
          <w:szCs w:val="24"/>
          <w:lang w:val="es-MX"/>
        </w:rPr>
        <w:t>negativo</w:t>
      </w:r>
      <w:r w:rsidRPr="00317203">
        <w:rPr>
          <w:rFonts w:ascii="Futura Lt BT" w:hAnsi="Futura Lt BT" w:cs="Courier New"/>
          <w:sz w:val="24"/>
          <w:szCs w:val="24"/>
          <w:lang w:val="es-MX"/>
        </w:rPr>
        <w:t xml:space="preserve"> de </w:t>
      </w:r>
      <w:r w:rsidR="00307774" w:rsidRPr="00317203">
        <w:rPr>
          <w:rFonts w:ascii="Futura Lt BT" w:hAnsi="Futura Lt BT" w:cs="Courier New"/>
          <w:sz w:val="24"/>
          <w:szCs w:val="24"/>
          <w:lang w:val="es-MX"/>
        </w:rPr>
        <w:t>180</w:t>
      </w:r>
      <w:r w:rsidR="002E5BF6" w:rsidRPr="00317203">
        <w:rPr>
          <w:rFonts w:ascii="Futura Lt BT" w:hAnsi="Futura Lt BT" w:cs="Courier New"/>
          <w:sz w:val="24"/>
          <w:szCs w:val="24"/>
          <w:lang w:val="es-MX"/>
        </w:rPr>
        <w:t>.</w:t>
      </w:r>
      <w:r w:rsidR="00307774" w:rsidRPr="00317203">
        <w:rPr>
          <w:rFonts w:ascii="Futura Lt BT" w:hAnsi="Futura Lt BT" w:cs="Courier New"/>
          <w:sz w:val="24"/>
          <w:szCs w:val="24"/>
          <w:lang w:val="es-MX"/>
        </w:rPr>
        <w:t>3</w:t>
      </w:r>
      <w:r w:rsidRPr="00317203">
        <w:rPr>
          <w:rFonts w:ascii="Futura Lt BT" w:hAnsi="Futura Lt BT" w:cs="Courier New"/>
          <w:sz w:val="24"/>
          <w:szCs w:val="24"/>
          <w:lang w:val="es-MX"/>
        </w:rPr>
        <w:t xml:space="preserve"> millones de dólares. Este resultado significó movimientos netos de capital </w:t>
      </w:r>
      <w:r w:rsidR="00153893" w:rsidRPr="00317203">
        <w:rPr>
          <w:rFonts w:ascii="Futura Lt BT" w:hAnsi="Futura Lt BT" w:cs="Courier New"/>
          <w:sz w:val="24"/>
          <w:szCs w:val="24"/>
          <w:lang w:val="es-MX"/>
        </w:rPr>
        <w:t xml:space="preserve">desde el exterior </w:t>
      </w:r>
      <w:r w:rsidR="00307774" w:rsidRPr="00317203">
        <w:rPr>
          <w:rFonts w:ascii="Futura Lt BT" w:hAnsi="Futura Lt BT" w:cs="Courier New"/>
          <w:sz w:val="24"/>
          <w:szCs w:val="24"/>
          <w:lang w:val="es-MX"/>
        </w:rPr>
        <w:t>hacia</w:t>
      </w:r>
      <w:r w:rsidRPr="00317203">
        <w:rPr>
          <w:rFonts w:ascii="Futura Lt BT" w:hAnsi="Futura Lt BT" w:cs="Courier New"/>
          <w:sz w:val="24"/>
          <w:szCs w:val="24"/>
          <w:lang w:val="es-MX"/>
        </w:rPr>
        <w:t xml:space="preserve"> la economía nicaragüense</w:t>
      </w:r>
      <w:bookmarkStart w:id="12" w:name="_Hlk99388597"/>
      <w:r w:rsidRPr="00317203">
        <w:rPr>
          <w:rFonts w:ascii="Futura Lt BT" w:hAnsi="Futura Lt BT" w:cs="Courier New"/>
          <w:sz w:val="24"/>
          <w:szCs w:val="24"/>
          <w:lang w:val="es-MX"/>
        </w:rPr>
        <w:t xml:space="preserve">, </w:t>
      </w:r>
      <w:bookmarkStart w:id="13" w:name="_Hlk149305799"/>
      <w:r w:rsidR="00307774" w:rsidRPr="00317203">
        <w:rPr>
          <w:rFonts w:ascii="Futura Lt BT" w:hAnsi="Futura Lt BT" w:cs="Courier New"/>
          <w:sz w:val="24"/>
          <w:szCs w:val="24"/>
          <w:lang w:val="es-MX"/>
        </w:rPr>
        <w:t>igual</w:t>
      </w:r>
      <w:r w:rsidRPr="00317203">
        <w:rPr>
          <w:rFonts w:ascii="Futura Lt BT" w:hAnsi="Futura Lt BT" w:cs="Courier New"/>
          <w:sz w:val="24"/>
          <w:szCs w:val="24"/>
          <w:lang w:val="es-MX"/>
        </w:rPr>
        <w:t xml:space="preserve"> al</w:t>
      </w:r>
      <w:r w:rsidR="006A3FEF" w:rsidRPr="00317203">
        <w:rPr>
          <w:rFonts w:ascii="Futura Lt BT" w:hAnsi="Futura Lt BT" w:cs="Courier New"/>
          <w:sz w:val="24"/>
          <w:szCs w:val="24"/>
          <w:lang w:val="es-MX"/>
        </w:rPr>
        <w:t xml:space="preserve"> </w:t>
      </w:r>
      <w:r w:rsidR="00E703F2" w:rsidRPr="00317203">
        <w:rPr>
          <w:rFonts w:ascii="Futura Lt BT" w:hAnsi="Futura Lt BT" w:cs="Courier New"/>
          <w:sz w:val="24"/>
          <w:szCs w:val="24"/>
          <w:lang w:val="es-MX"/>
        </w:rPr>
        <w:t>resultado de ingresos netos</w:t>
      </w:r>
      <w:r w:rsidR="00153893">
        <w:rPr>
          <w:rFonts w:ascii="Futura Lt BT" w:hAnsi="Futura Lt BT" w:cs="Courier New"/>
          <w:sz w:val="24"/>
          <w:szCs w:val="24"/>
          <w:lang w:val="es-MX"/>
        </w:rPr>
        <w:t xml:space="preserve"> de capital</w:t>
      </w:r>
      <w:r w:rsidR="00E703F2" w:rsidRPr="00317203">
        <w:rPr>
          <w:rFonts w:ascii="Futura Lt BT" w:hAnsi="Futura Lt BT" w:cs="Courier New"/>
          <w:sz w:val="24"/>
          <w:szCs w:val="24"/>
          <w:lang w:val="es-MX"/>
        </w:rPr>
        <w:t xml:space="preserve"> de </w:t>
      </w:r>
      <w:r w:rsidR="00307774" w:rsidRPr="00317203">
        <w:rPr>
          <w:rFonts w:ascii="Futura Lt BT" w:hAnsi="Futura Lt BT" w:cs="Courier New"/>
          <w:sz w:val="24"/>
          <w:szCs w:val="24"/>
          <w:lang w:val="es-MX"/>
        </w:rPr>
        <w:t>2</w:t>
      </w:r>
      <w:r w:rsidR="00CE1AC0">
        <w:rPr>
          <w:rFonts w:ascii="Futura Lt BT" w:hAnsi="Futura Lt BT" w:cs="Courier New"/>
          <w:sz w:val="24"/>
          <w:szCs w:val="24"/>
          <w:lang w:val="es-MX"/>
        </w:rPr>
        <w:t>6</w:t>
      </w:r>
      <w:r w:rsidR="00307774" w:rsidRPr="00317203">
        <w:rPr>
          <w:rFonts w:ascii="Futura Lt BT" w:hAnsi="Futura Lt BT" w:cs="Courier New"/>
          <w:sz w:val="24"/>
          <w:szCs w:val="24"/>
          <w:lang w:val="es-MX"/>
        </w:rPr>
        <w:t>8</w:t>
      </w:r>
      <w:r w:rsidRPr="00317203">
        <w:rPr>
          <w:rFonts w:ascii="Futura Lt BT" w:hAnsi="Futura Lt BT" w:cs="Courier New"/>
          <w:sz w:val="24"/>
          <w:szCs w:val="24"/>
          <w:lang w:val="es-MX"/>
        </w:rPr>
        <w:t>.</w:t>
      </w:r>
      <w:r w:rsidR="00CE1AC0">
        <w:rPr>
          <w:rFonts w:ascii="Futura Lt BT" w:hAnsi="Futura Lt BT" w:cs="Courier New"/>
          <w:sz w:val="24"/>
          <w:szCs w:val="24"/>
          <w:lang w:val="es-MX"/>
        </w:rPr>
        <w:t>6</w:t>
      </w:r>
      <w:r w:rsidRPr="00317203">
        <w:rPr>
          <w:rFonts w:ascii="Futura Lt BT" w:hAnsi="Futura Lt BT" w:cs="Courier New"/>
          <w:sz w:val="24"/>
          <w:szCs w:val="24"/>
          <w:lang w:val="es-MX"/>
        </w:rPr>
        <w:t xml:space="preserve"> millones</w:t>
      </w:r>
      <w:r w:rsidR="00E703F2" w:rsidRPr="00317203">
        <w:rPr>
          <w:rFonts w:ascii="Futura Lt BT" w:hAnsi="Futura Lt BT" w:cs="Courier New"/>
          <w:sz w:val="24"/>
          <w:szCs w:val="24"/>
          <w:lang w:val="es-MX"/>
        </w:rPr>
        <w:t xml:space="preserve"> de dólares</w:t>
      </w:r>
      <w:bookmarkEnd w:id="11"/>
      <w:r w:rsidR="00E703F2" w:rsidRPr="00317203">
        <w:rPr>
          <w:rFonts w:ascii="Futura Lt BT" w:hAnsi="Futura Lt BT" w:cs="Courier New"/>
          <w:sz w:val="24"/>
          <w:szCs w:val="24"/>
          <w:lang w:val="es-MX"/>
        </w:rPr>
        <w:t xml:space="preserve"> en el </w:t>
      </w:r>
      <w:r w:rsidR="00307774" w:rsidRPr="00317203">
        <w:rPr>
          <w:rFonts w:ascii="Futura Lt BT" w:hAnsi="Futura Lt BT" w:cs="Courier New"/>
          <w:sz w:val="24"/>
          <w:szCs w:val="24"/>
          <w:lang w:val="es-MX"/>
        </w:rPr>
        <w:t>tercer</w:t>
      </w:r>
      <w:r w:rsidR="00E703F2" w:rsidRPr="00317203">
        <w:rPr>
          <w:rFonts w:ascii="Futura Lt BT" w:hAnsi="Futura Lt BT" w:cs="Courier New"/>
          <w:sz w:val="24"/>
          <w:szCs w:val="24"/>
          <w:lang w:val="es-MX"/>
        </w:rPr>
        <w:t xml:space="preserve"> trimestre del año pasado, y de </w:t>
      </w:r>
      <w:r w:rsidR="00307774" w:rsidRPr="00317203">
        <w:rPr>
          <w:rFonts w:ascii="Futura Lt BT" w:hAnsi="Futura Lt BT" w:cs="Courier New"/>
          <w:sz w:val="24"/>
          <w:szCs w:val="24"/>
          <w:lang w:val="es-MX"/>
        </w:rPr>
        <w:t>98</w:t>
      </w:r>
      <w:r w:rsidR="00E703F2" w:rsidRPr="00317203">
        <w:rPr>
          <w:rFonts w:ascii="Futura Lt BT" w:hAnsi="Futura Lt BT" w:cs="Courier New"/>
          <w:sz w:val="24"/>
          <w:szCs w:val="24"/>
          <w:lang w:val="es-MX"/>
        </w:rPr>
        <w:t>.</w:t>
      </w:r>
      <w:r w:rsidR="00307774" w:rsidRPr="00317203">
        <w:rPr>
          <w:rFonts w:ascii="Futura Lt BT" w:hAnsi="Futura Lt BT" w:cs="Courier New"/>
          <w:sz w:val="24"/>
          <w:szCs w:val="24"/>
          <w:lang w:val="es-MX"/>
        </w:rPr>
        <w:t>8</w:t>
      </w:r>
      <w:r w:rsidR="00E703F2" w:rsidRPr="00317203">
        <w:rPr>
          <w:rFonts w:ascii="Futura Lt BT" w:hAnsi="Futura Lt BT" w:cs="Courier New"/>
          <w:sz w:val="24"/>
          <w:szCs w:val="24"/>
          <w:lang w:val="es-MX"/>
        </w:rPr>
        <w:t xml:space="preserve"> millones en el trimestre anterior</w:t>
      </w:r>
      <w:r w:rsidRPr="00317203">
        <w:rPr>
          <w:rFonts w:ascii="Futura Lt BT" w:hAnsi="Futura Lt BT" w:cs="Courier New"/>
          <w:sz w:val="24"/>
          <w:szCs w:val="24"/>
          <w:lang w:val="es-MX"/>
        </w:rPr>
        <w:t>.</w:t>
      </w:r>
      <w:bookmarkEnd w:id="12"/>
    </w:p>
    <w:bookmarkEnd w:id="13"/>
    <w:p w:rsidR="004E5F61" w:rsidRPr="00317203" w:rsidRDefault="004E5F61" w:rsidP="000200A3">
      <w:pPr>
        <w:pStyle w:val="Textoindependiente"/>
        <w:spacing w:line="276" w:lineRule="auto"/>
        <w:rPr>
          <w:rFonts w:eastAsiaTheme="minorHAnsi" w:cs="Courier New"/>
          <w:lang w:eastAsia="en-US"/>
        </w:rPr>
      </w:pPr>
    </w:p>
    <w:p w:rsidR="00784485" w:rsidRPr="00317203" w:rsidRDefault="00784485" w:rsidP="000200A3">
      <w:pPr>
        <w:pStyle w:val="Textoindependiente"/>
        <w:spacing w:line="276" w:lineRule="auto"/>
        <w:rPr>
          <w:rFonts w:eastAsiaTheme="minorHAnsi" w:cs="Courier New"/>
          <w:lang w:eastAsia="en-US"/>
        </w:rPr>
      </w:pPr>
      <w:r w:rsidRPr="00317203">
        <w:rPr>
          <w:rFonts w:eastAsiaTheme="minorHAnsi" w:cs="Courier New"/>
          <w:lang w:eastAsia="en-US"/>
        </w:rPr>
        <w:t xml:space="preserve">A nivel de los componentes normalizados de la cuenta financiera, se registró ingresos brutos de inversión extranjera directa (IED) de </w:t>
      </w:r>
      <w:r w:rsidR="00307774" w:rsidRPr="00317203">
        <w:rPr>
          <w:rFonts w:eastAsiaTheme="minorHAnsi" w:cs="Courier New"/>
          <w:lang w:eastAsia="en-US"/>
        </w:rPr>
        <w:t>572</w:t>
      </w:r>
      <w:r w:rsidRPr="00317203">
        <w:rPr>
          <w:rFonts w:eastAsiaTheme="minorHAnsi" w:cs="Courier New"/>
          <w:lang w:eastAsia="en-US"/>
        </w:rPr>
        <w:t>.</w:t>
      </w:r>
      <w:r w:rsidR="00307774" w:rsidRPr="00317203">
        <w:rPr>
          <w:rFonts w:eastAsiaTheme="minorHAnsi" w:cs="Courier New"/>
          <w:lang w:eastAsia="en-US"/>
        </w:rPr>
        <w:t>8</w:t>
      </w:r>
      <w:r w:rsidRPr="00317203">
        <w:rPr>
          <w:rFonts w:eastAsiaTheme="minorHAnsi" w:cs="Courier New"/>
          <w:lang w:eastAsia="en-US"/>
        </w:rPr>
        <w:t xml:space="preserve"> millones de dólares</w:t>
      </w:r>
      <w:r w:rsidR="00CE1AC0">
        <w:rPr>
          <w:rFonts w:eastAsiaTheme="minorHAnsi" w:cs="Courier New"/>
          <w:lang w:eastAsia="en-US"/>
        </w:rPr>
        <w:t xml:space="preserve"> en el tercer trimestre</w:t>
      </w:r>
      <w:r w:rsidRPr="00317203">
        <w:rPr>
          <w:rFonts w:eastAsiaTheme="minorHAnsi" w:cs="Courier New"/>
          <w:lang w:eastAsia="en-US"/>
        </w:rPr>
        <w:t>, los cuales reflejaron un</w:t>
      </w:r>
      <w:r w:rsidR="00CE1AC0">
        <w:rPr>
          <w:rFonts w:eastAsiaTheme="minorHAnsi" w:cs="Courier New"/>
          <w:lang w:eastAsia="en-US"/>
        </w:rPr>
        <w:t>a</w:t>
      </w:r>
      <w:r w:rsidRPr="00317203">
        <w:rPr>
          <w:rFonts w:eastAsiaTheme="minorHAnsi" w:cs="Courier New"/>
          <w:lang w:eastAsia="en-US"/>
        </w:rPr>
        <w:t xml:space="preserve"> </w:t>
      </w:r>
      <w:r w:rsidR="00CE1AC0">
        <w:rPr>
          <w:rFonts w:eastAsiaTheme="minorHAnsi" w:cs="Courier New"/>
          <w:lang w:eastAsia="en-US"/>
        </w:rPr>
        <w:t>disminución de 4.0 por ciento</w:t>
      </w:r>
      <w:r w:rsidRPr="00317203">
        <w:rPr>
          <w:rFonts w:eastAsiaTheme="minorHAnsi" w:cs="Courier New"/>
          <w:lang w:eastAsia="en-US"/>
        </w:rPr>
        <w:t xml:space="preserve"> con respecto a igual per</w:t>
      </w:r>
      <w:r w:rsidR="00153893">
        <w:rPr>
          <w:rFonts w:eastAsiaTheme="minorHAnsi" w:cs="Courier New"/>
          <w:lang w:eastAsia="en-US"/>
        </w:rPr>
        <w:t>í</w:t>
      </w:r>
      <w:r w:rsidRPr="00317203">
        <w:rPr>
          <w:rFonts w:eastAsiaTheme="minorHAnsi" w:cs="Courier New"/>
          <w:lang w:eastAsia="en-US"/>
        </w:rPr>
        <w:t>odo de 2022 (US$</w:t>
      </w:r>
      <w:r w:rsidR="00CE1AC0">
        <w:rPr>
          <w:rFonts w:eastAsiaTheme="minorHAnsi" w:cs="Courier New"/>
          <w:lang w:eastAsia="en-US"/>
        </w:rPr>
        <w:t>596.6</w:t>
      </w:r>
      <w:r w:rsidRPr="00317203">
        <w:rPr>
          <w:rFonts w:eastAsiaTheme="minorHAnsi" w:cs="Courier New"/>
          <w:lang w:eastAsia="en-US"/>
        </w:rPr>
        <w:t xml:space="preserve"> millones). En </w:t>
      </w:r>
      <w:r w:rsidR="00153893">
        <w:rPr>
          <w:rFonts w:eastAsiaTheme="minorHAnsi" w:cs="Courier New"/>
          <w:lang w:eastAsia="en-US"/>
        </w:rPr>
        <w:t>el período</w:t>
      </w:r>
      <w:r w:rsidRPr="00317203">
        <w:rPr>
          <w:rFonts w:eastAsiaTheme="minorHAnsi" w:cs="Courier New"/>
          <w:lang w:eastAsia="en-US"/>
        </w:rPr>
        <w:t xml:space="preserve"> </w:t>
      </w:r>
      <w:r w:rsidR="00307774" w:rsidRPr="00317203">
        <w:rPr>
          <w:rFonts w:eastAsiaTheme="minorHAnsi" w:cs="Courier New"/>
          <w:lang w:eastAsia="en-US"/>
        </w:rPr>
        <w:t>de enero a septiembre</w:t>
      </w:r>
      <w:r w:rsidR="00153893">
        <w:rPr>
          <w:rFonts w:eastAsiaTheme="minorHAnsi" w:cs="Courier New"/>
          <w:lang w:eastAsia="en-US"/>
        </w:rPr>
        <w:t xml:space="preserve"> de 2023</w:t>
      </w:r>
      <w:r w:rsidRPr="00317203">
        <w:rPr>
          <w:rFonts w:eastAsiaTheme="minorHAnsi" w:cs="Courier New"/>
          <w:lang w:eastAsia="en-US"/>
        </w:rPr>
        <w:t xml:space="preserve">, los ingresos brutos de IED sumaron </w:t>
      </w:r>
      <w:r w:rsidR="00307774" w:rsidRPr="00317203">
        <w:rPr>
          <w:rFonts w:eastAsiaTheme="minorHAnsi" w:cs="Courier New"/>
          <w:lang w:eastAsia="en-US"/>
        </w:rPr>
        <w:t>2,071.4</w:t>
      </w:r>
      <w:r w:rsidRPr="00317203">
        <w:rPr>
          <w:rFonts w:eastAsiaTheme="minorHAnsi" w:cs="Courier New"/>
          <w:lang w:eastAsia="en-US"/>
        </w:rPr>
        <w:t xml:space="preserve"> millones, siendo mayor en </w:t>
      </w:r>
      <w:r w:rsidR="00CE1AC0">
        <w:rPr>
          <w:rFonts w:eastAsiaTheme="minorHAnsi" w:cs="Courier New"/>
          <w:lang w:eastAsia="en-US"/>
        </w:rPr>
        <w:t>20.5</w:t>
      </w:r>
      <w:r w:rsidRPr="00317203">
        <w:rPr>
          <w:rFonts w:eastAsiaTheme="minorHAnsi" w:cs="Courier New"/>
          <w:lang w:eastAsia="en-US"/>
        </w:rPr>
        <w:t xml:space="preserve"> por ciento (</w:t>
      </w:r>
      <w:r w:rsidR="009F7749" w:rsidRPr="00317203">
        <w:rPr>
          <w:rFonts w:eastAsiaTheme="minorHAnsi" w:cs="Courier New"/>
          <w:lang w:eastAsia="en-US"/>
        </w:rPr>
        <w:t>+</w:t>
      </w:r>
      <w:r w:rsidRPr="00317203">
        <w:rPr>
          <w:rFonts w:eastAsiaTheme="minorHAnsi" w:cs="Courier New"/>
          <w:lang w:eastAsia="en-US"/>
        </w:rPr>
        <w:t>US$</w:t>
      </w:r>
      <w:r w:rsidR="00CE1AC0">
        <w:rPr>
          <w:rFonts w:eastAsiaTheme="minorHAnsi" w:cs="Courier New"/>
          <w:lang w:eastAsia="en-US"/>
        </w:rPr>
        <w:t>351.9</w:t>
      </w:r>
      <w:r w:rsidRPr="00317203">
        <w:rPr>
          <w:rFonts w:eastAsiaTheme="minorHAnsi" w:cs="Courier New"/>
          <w:lang w:eastAsia="en-US"/>
        </w:rPr>
        <w:t xml:space="preserve"> millones) </w:t>
      </w:r>
      <w:r w:rsidR="00153893">
        <w:rPr>
          <w:rFonts w:eastAsiaTheme="minorHAnsi" w:cs="Courier New"/>
          <w:lang w:eastAsia="en-US"/>
        </w:rPr>
        <w:t>al registrado en</w:t>
      </w:r>
      <w:r w:rsidRPr="00317203">
        <w:rPr>
          <w:rFonts w:eastAsiaTheme="minorHAnsi" w:cs="Courier New"/>
          <w:lang w:eastAsia="en-US"/>
        </w:rPr>
        <w:t xml:space="preserve"> </w:t>
      </w:r>
      <w:r w:rsidR="00153893" w:rsidRPr="00317203">
        <w:rPr>
          <w:rFonts w:eastAsiaTheme="minorHAnsi" w:cs="Courier New"/>
          <w:lang w:eastAsia="en-US"/>
        </w:rPr>
        <w:t>igual período de 2022</w:t>
      </w:r>
      <w:r w:rsidR="00153893">
        <w:rPr>
          <w:rFonts w:eastAsiaTheme="minorHAnsi" w:cs="Courier New"/>
          <w:lang w:eastAsia="en-US"/>
        </w:rPr>
        <w:t xml:space="preserve"> </w:t>
      </w:r>
      <w:r w:rsidR="009F7749" w:rsidRPr="00317203">
        <w:rPr>
          <w:rFonts w:eastAsiaTheme="minorHAnsi" w:cs="Courier New"/>
          <w:lang w:eastAsia="en-US"/>
        </w:rPr>
        <w:t>(US$1,</w:t>
      </w:r>
      <w:r w:rsidR="00CE1AC0">
        <w:rPr>
          <w:rFonts w:eastAsiaTheme="minorHAnsi" w:cs="Courier New"/>
          <w:lang w:eastAsia="en-US"/>
        </w:rPr>
        <w:t>719.5</w:t>
      </w:r>
      <w:r w:rsidR="009F7749" w:rsidRPr="00317203">
        <w:rPr>
          <w:rFonts w:eastAsiaTheme="minorHAnsi" w:cs="Courier New"/>
          <w:lang w:eastAsia="en-US"/>
        </w:rPr>
        <w:t xml:space="preserve"> millones)</w:t>
      </w:r>
      <w:r w:rsidRPr="00317203">
        <w:rPr>
          <w:rFonts w:eastAsiaTheme="minorHAnsi" w:cs="Courier New"/>
          <w:lang w:eastAsia="en-US"/>
        </w:rPr>
        <w:t>, debido principalmente a mayores desembolsos de préstamos entre empresas relacionadas (US$</w:t>
      </w:r>
      <w:r w:rsidR="00B852F9" w:rsidRPr="00317203">
        <w:rPr>
          <w:rFonts w:eastAsiaTheme="minorHAnsi" w:cs="Courier New"/>
          <w:lang w:eastAsia="en-US"/>
        </w:rPr>
        <w:t>394.7</w:t>
      </w:r>
      <w:r w:rsidRPr="00317203">
        <w:rPr>
          <w:rFonts w:eastAsiaTheme="minorHAnsi" w:cs="Courier New"/>
          <w:lang w:eastAsia="en-US"/>
        </w:rPr>
        <w:t xml:space="preserve"> millones), además del incremento de la renta de la inversión (US$</w:t>
      </w:r>
      <w:r w:rsidR="001A381E">
        <w:rPr>
          <w:rFonts w:eastAsiaTheme="minorHAnsi" w:cs="Courier New"/>
          <w:lang w:eastAsia="en-US"/>
        </w:rPr>
        <w:t>31.4</w:t>
      </w:r>
      <w:r w:rsidRPr="00317203">
        <w:rPr>
          <w:rFonts w:eastAsiaTheme="minorHAnsi" w:cs="Courier New"/>
          <w:lang w:eastAsia="en-US"/>
        </w:rPr>
        <w:t xml:space="preserve"> millones). Por su parte, el flujo neto de la IED en el trimestre resultó de </w:t>
      </w:r>
      <w:r w:rsidR="007F6DDD" w:rsidRPr="00317203">
        <w:rPr>
          <w:rFonts w:eastAsiaTheme="minorHAnsi" w:cs="Courier New"/>
          <w:lang w:eastAsia="en-US"/>
        </w:rPr>
        <w:t>281.1</w:t>
      </w:r>
      <w:r w:rsidRPr="00317203">
        <w:rPr>
          <w:rFonts w:eastAsiaTheme="minorHAnsi" w:cs="Courier New"/>
          <w:lang w:eastAsia="en-US"/>
        </w:rPr>
        <w:t xml:space="preserve"> millones de dólares, para un acumulado de </w:t>
      </w:r>
      <w:r w:rsidR="007F6DDD" w:rsidRPr="00317203">
        <w:rPr>
          <w:rFonts w:eastAsiaTheme="minorHAnsi" w:cs="Courier New"/>
          <w:lang w:eastAsia="en-US"/>
        </w:rPr>
        <w:t>1,177</w:t>
      </w:r>
      <w:r w:rsidRPr="00317203">
        <w:rPr>
          <w:rFonts w:eastAsiaTheme="minorHAnsi" w:cs="Courier New"/>
          <w:lang w:eastAsia="en-US"/>
        </w:rPr>
        <w:t>.</w:t>
      </w:r>
      <w:r w:rsidR="007F6DDD" w:rsidRPr="00317203">
        <w:rPr>
          <w:rFonts w:eastAsiaTheme="minorHAnsi" w:cs="Courier New"/>
          <w:lang w:eastAsia="en-US"/>
        </w:rPr>
        <w:t>7</w:t>
      </w:r>
      <w:r w:rsidRPr="00317203">
        <w:rPr>
          <w:rFonts w:eastAsiaTheme="minorHAnsi" w:cs="Courier New"/>
          <w:lang w:eastAsia="en-US"/>
        </w:rPr>
        <w:t xml:space="preserve"> millones, el cual fue </w:t>
      </w:r>
      <w:r w:rsidR="006D7AD1" w:rsidRPr="00317203">
        <w:rPr>
          <w:rFonts w:eastAsiaTheme="minorHAnsi" w:cs="Courier New"/>
          <w:lang w:eastAsia="en-US"/>
        </w:rPr>
        <w:t>mayor</w:t>
      </w:r>
      <w:r w:rsidRPr="00317203">
        <w:rPr>
          <w:rFonts w:eastAsiaTheme="minorHAnsi" w:cs="Courier New"/>
          <w:lang w:eastAsia="en-US"/>
        </w:rPr>
        <w:t xml:space="preserve"> en </w:t>
      </w:r>
      <w:r w:rsidR="0065528D">
        <w:rPr>
          <w:rFonts w:eastAsiaTheme="minorHAnsi" w:cs="Courier New"/>
          <w:lang w:eastAsia="en-US"/>
        </w:rPr>
        <w:t>9.1</w:t>
      </w:r>
      <w:r w:rsidRPr="00317203">
        <w:rPr>
          <w:rFonts w:eastAsiaTheme="minorHAnsi" w:cs="Courier New"/>
          <w:lang w:eastAsia="en-US"/>
        </w:rPr>
        <w:t xml:space="preserve"> por ciento (</w:t>
      </w:r>
      <w:r w:rsidR="00A96C7D" w:rsidRPr="00317203">
        <w:rPr>
          <w:rFonts w:eastAsiaTheme="minorHAnsi" w:cs="Courier New"/>
          <w:lang w:eastAsia="en-US"/>
        </w:rPr>
        <w:t>+</w:t>
      </w:r>
      <w:r w:rsidRPr="00317203">
        <w:rPr>
          <w:rFonts w:eastAsiaTheme="minorHAnsi" w:cs="Courier New"/>
          <w:lang w:eastAsia="en-US"/>
        </w:rPr>
        <w:t>US$</w:t>
      </w:r>
      <w:r w:rsidR="0065528D">
        <w:rPr>
          <w:rFonts w:eastAsiaTheme="minorHAnsi" w:cs="Courier New"/>
          <w:lang w:eastAsia="en-US"/>
        </w:rPr>
        <w:t>9</w:t>
      </w:r>
      <w:r w:rsidR="006D7AD1" w:rsidRPr="00317203">
        <w:rPr>
          <w:rFonts w:eastAsiaTheme="minorHAnsi" w:cs="Courier New"/>
          <w:lang w:eastAsia="en-US"/>
        </w:rPr>
        <w:t>8</w:t>
      </w:r>
      <w:r w:rsidRPr="00317203">
        <w:rPr>
          <w:rFonts w:eastAsiaTheme="minorHAnsi" w:cs="Courier New"/>
          <w:lang w:eastAsia="en-US"/>
        </w:rPr>
        <w:t>.</w:t>
      </w:r>
      <w:r w:rsidR="0065528D">
        <w:rPr>
          <w:rFonts w:eastAsiaTheme="minorHAnsi" w:cs="Courier New"/>
          <w:lang w:eastAsia="en-US"/>
        </w:rPr>
        <w:t>0</w:t>
      </w:r>
      <w:r w:rsidRPr="00317203">
        <w:rPr>
          <w:rFonts w:eastAsiaTheme="minorHAnsi" w:cs="Courier New"/>
          <w:lang w:eastAsia="en-US"/>
        </w:rPr>
        <w:t xml:space="preserve"> millones) con respecto a </w:t>
      </w:r>
      <w:r w:rsidR="006D7AD1" w:rsidRPr="00317203">
        <w:rPr>
          <w:rFonts w:eastAsiaTheme="minorHAnsi" w:cs="Courier New"/>
          <w:lang w:eastAsia="en-US"/>
        </w:rPr>
        <w:t>igual período</w:t>
      </w:r>
      <w:r w:rsidRPr="00317203">
        <w:rPr>
          <w:rFonts w:eastAsiaTheme="minorHAnsi" w:cs="Courier New"/>
          <w:lang w:eastAsia="en-US"/>
        </w:rPr>
        <w:t xml:space="preserve"> de 2022 (US$</w:t>
      </w:r>
      <w:r w:rsidR="006D7AD1" w:rsidRPr="00317203">
        <w:rPr>
          <w:rFonts w:eastAsiaTheme="minorHAnsi" w:cs="Courier New"/>
          <w:lang w:eastAsia="en-US"/>
        </w:rPr>
        <w:t>1,0</w:t>
      </w:r>
      <w:r w:rsidR="0065528D">
        <w:rPr>
          <w:rFonts w:eastAsiaTheme="minorHAnsi" w:cs="Courier New"/>
          <w:lang w:eastAsia="en-US"/>
        </w:rPr>
        <w:t>7</w:t>
      </w:r>
      <w:r w:rsidR="006D7AD1" w:rsidRPr="00317203">
        <w:rPr>
          <w:rFonts w:eastAsiaTheme="minorHAnsi" w:cs="Courier New"/>
          <w:lang w:eastAsia="en-US"/>
        </w:rPr>
        <w:t>9.</w:t>
      </w:r>
      <w:r w:rsidR="0065528D">
        <w:rPr>
          <w:rFonts w:eastAsiaTheme="minorHAnsi" w:cs="Courier New"/>
          <w:lang w:eastAsia="en-US"/>
        </w:rPr>
        <w:t>7</w:t>
      </w:r>
      <w:r w:rsidRPr="00317203">
        <w:rPr>
          <w:rFonts w:eastAsiaTheme="minorHAnsi" w:cs="Courier New"/>
          <w:lang w:eastAsia="en-US"/>
        </w:rPr>
        <w:t xml:space="preserve"> millones), derivado de mayores </w:t>
      </w:r>
      <w:r w:rsidR="006D7AD1" w:rsidRPr="00317203">
        <w:rPr>
          <w:rFonts w:eastAsiaTheme="minorHAnsi" w:cs="Courier New"/>
          <w:lang w:eastAsia="en-US"/>
        </w:rPr>
        <w:t>desembolsos</w:t>
      </w:r>
      <w:r w:rsidRPr="00317203">
        <w:rPr>
          <w:rFonts w:eastAsiaTheme="minorHAnsi" w:cs="Courier New"/>
          <w:lang w:eastAsia="en-US"/>
        </w:rPr>
        <w:t>.</w:t>
      </w:r>
    </w:p>
    <w:p w:rsidR="004E5F61" w:rsidRPr="00317203" w:rsidRDefault="004E5F61" w:rsidP="000200A3">
      <w:pPr>
        <w:pStyle w:val="Textoindependiente"/>
        <w:spacing w:line="276" w:lineRule="auto"/>
      </w:pPr>
      <w:bookmarkStart w:id="14" w:name="_Hlk140142211"/>
    </w:p>
    <w:p w:rsidR="00C96E09" w:rsidRPr="00317203" w:rsidRDefault="00A875D0" w:rsidP="000200A3">
      <w:pPr>
        <w:pStyle w:val="Textoindependiente"/>
        <w:spacing w:line="276" w:lineRule="auto"/>
      </w:pPr>
      <w:bookmarkStart w:id="15" w:name="_Hlk149305987"/>
      <w:r w:rsidRPr="00317203">
        <w:t>En relación con los flujos de préstamos externos</w:t>
      </w:r>
      <w:bookmarkEnd w:id="15"/>
      <w:r w:rsidRPr="00317203">
        <w:t xml:space="preserve">, </w:t>
      </w:r>
      <w:bookmarkStart w:id="16" w:name="_Hlk149305968"/>
      <w:r w:rsidRPr="00317203">
        <w:t xml:space="preserve">se registró </w:t>
      </w:r>
      <w:r w:rsidR="0068201F">
        <w:t>desem</w:t>
      </w:r>
      <w:r w:rsidR="004B0A51">
        <w:t xml:space="preserve">bolsos </w:t>
      </w:r>
      <w:r w:rsidRPr="00317203">
        <w:t>n</w:t>
      </w:r>
      <w:r w:rsidR="004B0A51">
        <w:t>e</w:t>
      </w:r>
      <w:r w:rsidRPr="00317203">
        <w:t>t</w:t>
      </w:r>
      <w:r w:rsidR="004B0A51">
        <w:t>o</w:t>
      </w:r>
      <w:r w:rsidRPr="00317203">
        <w:t>s (</w:t>
      </w:r>
      <w:r w:rsidR="004B0A51">
        <w:t>aumento</w:t>
      </w:r>
      <w:r w:rsidRPr="00317203">
        <w:t xml:space="preserve"> de pasivos) de </w:t>
      </w:r>
      <w:r w:rsidR="005F08C1" w:rsidRPr="00317203">
        <w:t>154</w:t>
      </w:r>
      <w:r w:rsidR="007815A0" w:rsidRPr="00317203">
        <w:t>.</w:t>
      </w:r>
      <w:r w:rsidR="0065528D">
        <w:t>6</w:t>
      </w:r>
      <w:r w:rsidRPr="00317203">
        <w:t xml:space="preserve"> millones de dólares</w:t>
      </w:r>
      <w:r w:rsidR="00C3252C" w:rsidRPr="00317203">
        <w:t xml:space="preserve"> (US$</w:t>
      </w:r>
      <w:r w:rsidR="005F08C1" w:rsidRPr="00317203">
        <w:t>27</w:t>
      </w:r>
      <w:r w:rsidR="00C3252C" w:rsidRPr="00317203">
        <w:t>.</w:t>
      </w:r>
      <w:r w:rsidR="005F08C1" w:rsidRPr="00317203">
        <w:t>2</w:t>
      </w:r>
      <w:r w:rsidR="00C3252C" w:rsidRPr="00317203">
        <w:t xml:space="preserve"> millones en el </w:t>
      </w:r>
      <w:r w:rsidR="005F08C1" w:rsidRPr="00317203">
        <w:t>tercer</w:t>
      </w:r>
      <w:r w:rsidR="00C3252C" w:rsidRPr="00317203">
        <w:t xml:space="preserve"> trimestre 2022)</w:t>
      </w:r>
      <w:r w:rsidRPr="00317203">
        <w:t xml:space="preserve">, </w:t>
      </w:r>
      <w:r w:rsidR="005F08C1" w:rsidRPr="00317203">
        <w:rPr>
          <w:rFonts w:cs="Courier New"/>
        </w:rPr>
        <w:t xml:space="preserve">como resultado del registro de 380.8 millones de dólares en concepto de desembolsos </w:t>
      </w:r>
      <w:r w:rsidR="005F08C1" w:rsidRPr="00317203">
        <w:rPr>
          <w:rFonts w:cs="Courier New"/>
        </w:rPr>
        <w:lastRenderedPageBreak/>
        <w:t>(excluyendo créditos comerciales), y pago de amortizaciones de 233.6 millones de dólares, entre otros ajustes devengados.</w:t>
      </w:r>
      <w:bookmarkEnd w:id="16"/>
      <w:r w:rsidRPr="00317203">
        <w:t xml:space="preserve"> </w:t>
      </w:r>
      <w:r w:rsidR="004B0A51">
        <w:rPr>
          <w:rFonts w:cs="Courier New"/>
        </w:rPr>
        <w:t>Así</w:t>
      </w:r>
      <w:r w:rsidR="005F08C1" w:rsidRPr="00317203">
        <w:rPr>
          <w:rFonts w:cs="Courier New"/>
        </w:rPr>
        <w:t>, de enero a septiembre</w:t>
      </w:r>
      <w:r w:rsidR="004B0A51">
        <w:rPr>
          <w:rFonts w:cs="Courier New"/>
        </w:rPr>
        <w:t>,</w:t>
      </w:r>
      <w:r w:rsidR="005F08C1" w:rsidRPr="00317203">
        <w:rPr>
          <w:rFonts w:cs="Courier New"/>
        </w:rPr>
        <w:t xml:space="preserve"> se registró desembolsos netos de deuda externa de </w:t>
      </w:r>
      <w:r w:rsidR="004B0A51">
        <w:rPr>
          <w:rFonts w:cs="Courier New"/>
        </w:rPr>
        <w:t>65.4</w:t>
      </w:r>
      <w:r w:rsidR="005F08C1" w:rsidRPr="00317203">
        <w:rPr>
          <w:rFonts w:cs="Courier New"/>
        </w:rPr>
        <w:t xml:space="preserve"> millones de dólares</w:t>
      </w:r>
      <w:r w:rsidR="004B0A51">
        <w:rPr>
          <w:rFonts w:cs="Courier New"/>
        </w:rPr>
        <w:t xml:space="preserve"> (US$62.3 millones e</w:t>
      </w:r>
      <w:r w:rsidR="005F08C1" w:rsidRPr="00317203">
        <w:rPr>
          <w:rFonts w:cs="Courier New"/>
        </w:rPr>
        <w:t xml:space="preserve">n </w:t>
      </w:r>
      <w:r w:rsidR="006042D7" w:rsidRPr="00126AC7">
        <w:rPr>
          <w:noProof/>
        </w:rPr>
        <w:drawing>
          <wp:anchor distT="0" distB="0" distL="114300" distR="114300" simplePos="0" relativeHeight="251797504" behindDoc="0" locked="0" layoutInCell="1" allowOverlap="1">
            <wp:simplePos x="0" y="0"/>
            <wp:positionH relativeFrom="margin">
              <wp:align>left</wp:align>
            </wp:positionH>
            <wp:positionV relativeFrom="paragraph">
              <wp:posOffset>1047750</wp:posOffset>
            </wp:positionV>
            <wp:extent cx="2567940" cy="2467610"/>
            <wp:effectExtent l="0" t="0" r="3810" b="889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7940" cy="2467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2D7" w:rsidRPr="006042D7">
        <w:rPr>
          <w:noProof/>
        </w:rPr>
        <w:drawing>
          <wp:anchor distT="0" distB="0" distL="114300" distR="114300" simplePos="0" relativeHeight="251811840" behindDoc="0" locked="0" layoutInCell="1" allowOverlap="1">
            <wp:simplePos x="0" y="0"/>
            <wp:positionH relativeFrom="margin">
              <wp:align>right</wp:align>
            </wp:positionH>
            <wp:positionV relativeFrom="paragraph">
              <wp:posOffset>1190874</wp:posOffset>
            </wp:positionV>
            <wp:extent cx="2894275" cy="2252983"/>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4275" cy="2252983"/>
                    </a:xfrm>
                    <a:prstGeom prst="rect">
                      <a:avLst/>
                    </a:prstGeom>
                    <a:noFill/>
                    <a:ln>
                      <a:noFill/>
                    </a:ln>
                  </pic:spPr>
                </pic:pic>
              </a:graphicData>
            </a:graphic>
          </wp:anchor>
        </w:drawing>
      </w:r>
      <w:r w:rsidR="005F08C1" w:rsidRPr="00317203">
        <w:rPr>
          <w:rFonts w:cs="Courier New"/>
        </w:rPr>
        <w:t>igual per</w:t>
      </w:r>
      <w:r w:rsidR="004B0A51">
        <w:rPr>
          <w:rFonts w:cs="Courier New"/>
        </w:rPr>
        <w:t>í</w:t>
      </w:r>
      <w:r w:rsidR="005F08C1" w:rsidRPr="00317203">
        <w:rPr>
          <w:rFonts w:cs="Courier New"/>
        </w:rPr>
        <w:t>odo de 2022</w:t>
      </w:r>
      <w:r w:rsidR="004B0A51">
        <w:rPr>
          <w:rFonts w:cs="Courier New"/>
        </w:rPr>
        <w:t>)</w:t>
      </w:r>
      <w:r w:rsidR="005F08C1" w:rsidRPr="00317203">
        <w:rPr>
          <w:rFonts w:cs="Courier New"/>
        </w:rPr>
        <w:t>.</w:t>
      </w:r>
    </w:p>
    <w:p w:rsidR="00C96E09" w:rsidRPr="00317203" w:rsidRDefault="00C96E09" w:rsidP="000200A3">
      <w:pPr>
        <w:pStyle w:val="Textoindependiente"/>
        <w:spacing w:line="276" w:lineRule="auto"/>
      </w:pPr>
    </w:p>
    <w:p w:rsidR="000A1119" w:rsidRDefault="000A1119" w:rsidP="000200A3">
      <w:pPr>
        <w:pStyle w:val="Textoindependiente"/>
        <w:spacing w:line="276" w:lineRule="auto"/>
      </w:pPr>
    </w:p>
    <w:p w:rsidR="00A875D0" w:rsidRPr="00317203" w:rsidRDefault="00A875D0" w:rsidP="000200A3">
      <w:pPr>
        <w:pStyle w:val="Textoindependiente"/>
        <w:spacing w:line="276" w:lineRule="auto"/>
      </w:pPr>
      <w:r w:rsidRPr="00317203">
        <w:t xml:space="preserve">Por sectores institucionales, </w:t>
      </w:r>
      <w:r w:rsidR="00C629D7" w:rsidRPr="00317203">
        <w:t xml:space="preserve">las instituciones financieras captadoras de depósitos y </w:t>
      </w:r>
      <w:r w:rsidR="005F08C1" w:rsidRPr="00317203">
        <w:t xml:space="preserve">el Gobierno General </w:t>
      </w:r>
      <w:r w:rsidRPr="00317203">
        <w:t>registraron</w:t>
      </w:r>
      <w:r w:rsidR="0015374F">
        <w:t>,</w:t>
      </w:r>
      <w:r w:rsidRPr="00317203">
        <w:t xml:space="preserve"> </w:t>
      </w:r>
      <w:r w:rsidR="0015374F" w:rsidRPr="00317203">
        <w:t>en el trimestre</w:t>
      </w:r>
      <w:r w:rsidR="0015374F">
        <w:t>,</w:t>
      </w:r>
      <w:r w:rsidR="0015374F" w:rsidRPr="00317203">
        <w:t xml:space="preserve"> </w:t>
      </w:r>
      <w:r w:rsidR="005F08C1" w:rsidRPr="00317203">
        <w:t>desembolsos</w:t>
      </w:r>
      <w:r w:rsidRPr="00317203">
        <w:t xml:space="preserve"> net</w:t>
      </w:r>
      <w:r w:rsidR="005F08C1" w:rsidRPr="00317203">
        <w:t>o</w:t>
      </w:r>
      <w:r w:rsidRPr="00317203">
        <w:t xml:space="preserve">s de </w:t>
      </w:r>
      <w:r w:rsidR="00C629D7" w:rsidRPr="00317203">
        <w:t xml:space="preserve">42.5 y </w:t>
      </w:r>
      <w:r w:rsidR="005F08C1" w:rsidRPr="00317203">
        <w:t xml:space="preserve">118.7 </w:t>
      </w:r>
      <w:r w:rsidRPr="00317203">
        <w:t>millones de dólares</w:t>
      </w:r>
      <w:r w:rsidR="005F08C1" w:rsidRPr="00317203">
        <w:t>, respectivamente</w:t>
      </w:r>
      <w:r w:rsidRPr="00317203">
        <w:t xml:space="preserve">. </w:t>
      </w:r>
      <w:r w:rsidR="00C629D7" w:rsidRPr="00317203">
        <w:t xml:space="preserve">El Gobierno General incrementó su pasivo de deuda externa en 118.7 millones de dólares (US$71.4 millones en el III trimestre de 2022), debido a desembolsos de préstamos externos de 178.7 millones y pago de amortización de 62.4 millones, entre otros. </w:t>
      </w:r>
      <w:r w:rsidRPr="00317203">
        <w:t xml:space="preserve">Por su parte, el BCN </w:t>
      </w:r>
      <w:r w:rsidR="00C629D7" w:rsidRPr="00317203">
        <w:t xml:space="preserve">y el resto del sector privado </w:t>
      </w:r>
      <w:r w:rsidRPr="00317203">
        <w:t>registr</w:t>
      </w:r>
      <w:r w:rsidR="00C629D7" w:rsidRPr="00317203">
        <w:t>aron</w:t>
      </w:r>
      <w:r w:rsidRPr="00317203">
        <w:t xml:space="preserve"> amortizaci</w:t>
      </w:r>
      <w:r w:rsidR="00C629D7" w:rsidRPr="00317203">
        <w:t>o</w:t>
      </w:r>
      <w:r w:rsidRPr="00317203">
        <w:t>n</w:t>
      </w:r>
      <w:r w:rsidR="00C629D7" w:rsidRPr="00317203">
        <w:t>es</w:t>
      </w:r>
      <w:r w:rsidRPr="00317203">
        <w:t xml:space="preserve"> neta</w:t>
      </w:r>
      <w:r w:rsidR="00C629D7" w:rsidRPr="00317203">
        <w:t>s</w:t>
      </w:r>
      <w:r w:rsidRPr="00317203">
        <w:t xml:space="preserve"> de </w:t>
      </w:r>
      <w:r w:rsidR="005F08C1" w:rsidRPr="00317203">
        <w:t>6.4</w:t>
      </w:r>
      <w:r w:rsidR="00C629D7" w:rsidRPr="00317203">
        <w:t xml:space="preserve"> y 0.3</w:t>
      </w:r>
      <w:r w:rsidRPr="00317203">
        <w:t xml:space="preserve"> millones de dólares</w:t>
      </w:r>
      <w:r w:rsidR="00C629D7" w:rsidRPr="00317203">
        <w:t>, respectivamente.</w:t>
      </w:r>
      <w:r w:rsidRPr="00317203">
        <w:t xml:space="preserve"> </w:t>
      </w:r>
    </w:p>
    <w:bookmarkEnd w:id="14"/>
    <w:p w:rsidR="005B2094" w:rsidRDefault="009E2E4B" w:rsidP="00152CB7">
      <w:pPr>
        <w:pStyle w:val="Textoindependiente"/>
        <w:spacing w:line="120" w:lineRule="auto"/>
      </w:pPr>
      <w:r>
        <w:t xml:space="preserve"> </w:t>
      </w:r>
    </w:p>
    <w:p w:rsidR="00351D97" w:rsidRDefault="00351D97" w:rsidP="00351D97">
      <w:pPr>
        <w:pStyle w:val="Textoindependiente"/>
        <w:spacing w:line="120" w:lineRule="auto"/>
      </w:pPr>
    </w:p>
    <w:p w:rsidR="002C10A6" w:rsidRDefault="006F7C18" w:rsidP="000200A3">
      <w:pPr>
        <w:pStyle w:val="Textoindependiente"/>
        <w:spacing w:line="276" w:lineRule="auto"/>
      </w:pPr>
      <w:bookmarkStart w:id="17" w:name="_Hlk156553941"/>
      <w:r w:rsidRPr="00C91428">
        <w:t xml:space="preserve">Por </w:t>
      </w:r>
      <w:r w:rsidR="0035079B" w:rsidRPr="00C91428">
        <w:t>otra parte</w:t>
      </w:r>
      <w:r w:rsidRPr="00C91428">
        <w:t xml:space="preserve">, </w:t>
      </w:r>
      <w:r w:rsidR="0035079B" w:rsidRPr="00C91428">
        <w:t xml:space="preserve">en el trimestre </w:t>
      </w:r>
      <w:r w:rsidR="0035079B" w:rsidRPr="00C91428">
        <w:rPr>
          <w:rFonts w:cs="Courier New"/>
        </w:rPr>
        <w:t xml:space="preserve">se registró aumento de </w:t>
      </w:r>
      <w:r w:rsidR="00C629D7" w:rsidRPr="00C91428">
        <w:rPr>
          <w:rFonts w:cs="Courier New"/>
        </w:rPr>
        <w:t>63.9</w:t>
      </w:r>
      <w:r w:rsidR="0035079B" w:rsidRPr="00C91428">
        <w:rPr>
          <w:rFonts w:cs="Courier New"/>
        </w:rPr>
        <w:t xml:space="preserve"> millones de dólares en el saldo de depósitos en el exterior de las instituciones financieras; </w:t>
      </w:r>
      <w:r w:rsidR="00351D97" w:rsidRPr="00C91428">
        <w:rPr>
          <w:rFonts w:cs="Courier New"/>
        </w:rPr>
        <w:t xml:space="preserve">y </w:t>
      </w:r>
      <w:r w:rsidR="0035079B" w:rsidRPr="00C91428">
        <w:rPr>
          <w:rFonts w:cs="Courier New"/>
        </w:rPr>
        <w:t xml:space="preserve">de </w:t>
      </w:r>
      <w:r w:rsidR="00C629D7" w:rsidRPr="00C91428">
        <w:rPr>
          <w:rFonts w:cs="Courier New"/>
        </w:rPr>
        <w:t>50.5</w:t>
      </w:r>
      <w:r w:rsidR="0035079B" w:rsidRPr="00C91428">
        <w:rPr>
          <w:rFonts w:cs="Courier New"/>
        </w:rPr>
        <w:t xml:space="preserve"> millones en depósitos en el exterior del sector privado no financiero</w:t>
      </w:r>
      <w:r w:rsidR="00351D97" w:rsidRPr="00C91428">
        <w:rPr>
          <w:rFonts w:cs="Courier New"/>
        </w:rPr>
        <w:t xml:space="preserve">. En términos acumulados, los depósitos de las instituciones financieras </w:t>
      </w:r>
      <w:r w:rsidR="00C629D7" w:rsidRPr="00C91428">
        <w:rPr>
          <w:rFonts w:cs="Courier New"/>
        </w:rPr>
        <w:t>aumentaron</w:t>
      </w:r>
      <w:r w:rsidR="00351D97" w:rsidRPr="00C91428">
        <w:rPr>
          <w:rFonts w:cs="Courier New"/>
        </w:rPr>
        <w:t xml:space="preserve"> en </w:t>
      </w:r>
      <w:r w:rsidR="00C629D7" w:rsidRPr="00C91428">
        <w:rPr>
          <w:rFonts w:cs="Courier New"/>
        </w:rPr>
        <w:t>43.5</w:t>
      </w:r>
      <w:r w:rsidR="00351D97" w:rsidRPr="00C91428">
        <w:rPr>
          <w:rFonts w:cs="Courier New"/>
        </w:rPr>
        <w:t xml:space="preserve"> millones de dólares; y los depósitos del sector privado no financiero aumentaron en </w:t>
      </w:r>
      <w:r w:rsidR="00C629D7" w:rsidRPr="00C91428">
        <w:rPr>
          <w:rFonts w:cs="Courier New"/>
        </w:rPr>
        <w:t>16</w:t>
      </w:r>
      <w:r w:rsidR="00351D97" w:rsidRPr="00C91428">
        <w:rPr>
          <w:rFonts w:cs="Courier New"/>
        </w:rPr>
        <w:t>.</w:t>
      </w:r>
      <w:r w:rsidR="00C629D7" w:rsidRPr="00C91428">
        <w:rPr>
          <w:rFonts w:cs="Courier New"/>
        </w:rPr>
        <w:t>5</w:t>
      </w:r>
      <w:r w:rsidR="00351D97" w:rsidRPr="00C91428">
        <w:rPr>
          <w:rFonts w:cs="Courier New"/>
        </w:rPr>
        <w:t xml:space="preserve"> millones</w:t>
      </w:r>
      <w:r w:rsidR="00C629D7" w:rsidRPr="00C91428">
        <w:rPr>
          <w:rFonts w:cs="Courier New"/>
        </w:rPr>
        <w:t xml:space="preserve"> de dólares</w:t>
      </w:r>
      <w:r w:rsidR="00351D97" w:rsidRPr="00C91428">
        <w:rPr>
          <w:rFonts w:cs="Courier New"/>
        </w:rPr>
        <w:t xml:space="preserve">. </w:t>
      </w:r>
      <w:bookmarkEnd w:id="17"/>
      <w:r w:rsidR="00351D97" w:rsidRPr="00C91428">
        <w:rPr>
          <w:rFonts w:cs="Courier New"/>
        </w:rPr>
        <w:t xml:space="preserve">Mientras tanto, </w:t>
      </w:r>
      <w:r w:rsidR="00DC0C58" w:rsidRPr="00C91428">
        <w:t>l</w:t>
      </w:r>
      <w:r w:rsidR="002C10A6" w:rsidRPr="00C91428">
        <w:t xml:space="preserve">os </w:t>
      </w:r>
      <w:r w:rsidR="00A320C9" w:rsidRPr="00C91428">
        <w:t>a</w:t>
      </w:r>
      <w:r w:rsidR="002C10A6" w:rsidRPr="00C91428">
        <w:t xml:space="preserve">ctivos de </w:t>
      </w:r>
      <w:r w:rsidR="00A320C9" w:rsidRPr="00C91428">
        <w:t>r</w:t>
      </w:r>
      <w:r w:rsidR="002C10A6" w:rsidRPr="00C91428">
        <w:t>eserva</w:t>
      </w:r>
      <w:r w:rsidR="002C10A6" w:rsidRPr="00C91428">
        <w:rPr>
          <w:rStyle w:val="Refdenotaalpie"/>
          <w:rFonts w:ascii="Futura Md BT" w:eastAsia="MS Mincho" w:hAnsi="Futura Md BT" w:cs="Arial"/>
          <w:bCs/>
          <w:color w:val="000000" w:themeColor="text1"/>
          <w:kern w:val="32"/>
          <w:sz w:val="28"/>
          <w:szCs w:val="28"/>
          <w:lang w:val="es-ES"/>
        </w:rPr>
        <w:footnoteReference w:id="4"/>
      </w:r>
      <w:r w:rsidR="002C10A6" w:rsidRPr="00C91428">
        <w:rPr>
          <w:rStyle w:val="Refdenotaalpie"/>
          <w:rFonts w:ascii="Futura Md BT" w:eastAsia="MS Mincho" w:hAnsi="Futura Md BT" w:cs="Arial"/>
          <w:b/>
          <w:bCs/>
          <w:color w:val="004B85"/>
          <w:kern w:val="32"/>
          <w:sz w:val="28"/>
          <w:szCs w:val="28"/>
          <w:lang w:val="es-ES"/>
        </w:rPr>
        <w:t xml:space="preserve"> </w:t>
      </w:r>
      <w:r w:rsidR="002C10A6" w:rsidRPr="00C91428">
        <w:t xml:space="preserve">del </w:t>
      </w:r>
      <w:r w:rsidR="005B2094" w:rsidRPr="00C91428">
        <w:t>banco central</w:t>
      </w:r>
      <w:r w:rsidR="002C10A6" w:rsidRPr="00C91428">
        <w:t xml:space="preserve"> </w:t>
      </w:r>
      <w:r w:rsidR="0035079B" w:rsidRPr="00C91428">
        <w:t xml:space="preserve">registraron aumento de </w:t>
      </w:r>
      <w:r w:rsidR="00CA4FCD" w:rsidRPr="00C91428">
        <w:t>1</w:t>
      </w:r>
      <w:r w:rsidR="00C629D7" w:rsidRPr="00C91428">
        <w:t>68</w:t>
      </w:r>
      <w:r w:rsidR="002C10A6" w:rsidRPr="00C91428">
        <w:t>.</w:t>
      </w:r>
      <w:r w:rsidR="00C629D7" w:rsidRPr="00C91428">
        <w:t>9</w:t>
      </w:r>
      <w:r w:rsidR="002C10A6" w:rsidRPr="00C91428">
        <w:t xml:space="preserve"> millones de dólares (US$</w:t>
      </w:r>
      <w:r w:rsidR="00C629D7" w:rsidRPr="00C91428">
        <w:rPr>
          <w:rFonts w:cs="Arial"/>
          <w:color w:val="050505"/>
        </w:rPr>
        <w:t xml:space="preserve">170.5 </w:t>
      </w:r>
      <w:r w:rsidR="002C10A6" w:rsidRPr="00C91428">
        <w:t xml:space="preserve">millones en RIB), </w:t>
      </w:r>
      <w:r w:rsidR="00A9472E" w:rsidRPr="00C91428">
        <w:t>como resultado de compras netas de divisas en las operaciones de la mesa de cambio (US$455.6 millones), ingresos de préstamos externos para el SPNF (US$159.9 millones), aumento neto de encaje en ME (US$50.2 millones) e intereses recibidos por inversiones</w:t>
      </w:r>
      <w:r w:rsidR="00461208">
        <w:t xml:space="preserve"> del BCN</w:t>
      </w:r>
      <w:r w:rsidR="00A9472E" w:rsidRPr="00C91428">
        <w:t xml:space="preserve"> (US$30.5 millones), los cuales fueron </w:t>
      </w:r>
      <w:r w:rsidR="00A9472E" w:rsidRPr="00C91428">
        <w:lastRenderedPageBreak/>
        <w:t>atenuados por disminución neta de los depósitos del SPNF (US$190.2 millones), redención neta de títulos</w:t>
      </w:r>
      <w:r w:rsidR="00461208">
        <w:t xml:space="preserve"> en ME</w:t>
      </w:r>
      <w:r w:rsidR="00A9472E" w:rsidRPr="00C91428">
        <w:t xml:space="preserve"> (US$15</w:t>
      </w:r>
      <w:r w:rsidR="00461208">
        <w:t>7.0</w:t>
      </w:r>
      <w:r w:rsidR="00A9472E" w:rsidRPr="00C91428">
        <w:t xml:space="preserve"> millones), pago del servicio de la deuda externa pública (US$141.7 millones) y redención neta de depósitos monetarios en ME (US$39.</w:t>
      </w:r>
      <w:r w:rsidR="00C91428">
        <w:t>0</w:t>
      </w:r>
      <w:r w:rsidR="00A9472E" w:rsidRPr="00C91428">
        <w:t xml:space="preserve"> millones). </w:t>
      </w:r>
      <w:r w:rsidR="005D101A" w:rsidRPr="00C91428">
        <w:t xml:space="preserve">Como resultado de lo anterior, </w:t>
      </w:r>
      <w:r w:rsidR="00C96E09" w:rsidRPr="00C91428">
        <w:t>los activos de reservas del BCN registra</w:t>
      </w:r>
      <w:r w:rsidR="005D101A" w:rsidRPr="00C91428">
        <w:t>ron un</w:t>
      </w:r>
      <w:r w:rsidR="005D101A">
        <w:t xml:space="preserve"> aumento de </w:t>
      </w:r>
      <w:r w:rsidR="00C96E09">
        <w:t>7</w:t>
      </w:r>
      <w:r w:rsidR="007939D2">
        <w:t>41</w:t>
      </w:r>
      <w:r w:rsidR="00C96E09">
        <w:t>.6 millones de dólares (US$</w:t>
      </w:r>
      <w:r w:rsidR="007939D2">
        <w:t>7</w:t>
      </w:r>
      <w:r w:rsidR="00C96E09">
        <w:t>5</w:t>
      </w:r>
      <w:r w:rsidR="007939D2">
        <w:t>5</w:t>
      </w:r>
      <w:r w:rsidR="00C96E09">
        <w:t>.</w:t>
      </w:r>
      <w:r w:rsidR="007939D2">
        <w:t>2</w:t>
      </w:r>
      <w:r w:rsidR="00C96E09">
        <w:t xml:space="preserve"> millones en RIB</w:t>
      </w:r>
      <w:r w:rsidR="005D101A">
        <w:t xml:space="preserve">) </w:t>
      </w:r>
      <w:r w:rsidR="00461208">
        <w:t xml:space="preserve">en el período </w:t>
      </w:r>
      <w:r w:rsidR="007939D2">
        <w:t>de enero a septiembre</w:t>
      </w:r>
      <w:r w:rsidR="005D101A">
        <w:t xml:space="preserve"> de</w:t>
      </w:r>
      <w:r w:rsidR="00461208">
        <w:t xml:space="preserve"> 2023</w:t>
      </w:r>
      <w:r w:rsidR="005D101A">
        <w:t>.</w:t>
      </w:r>
    </w:p>
    <w:p w:rsidR="00351D97" w:rsidRDefault="00351D97" w:rsidP="000200A3">
      <w:pPr>
        <w:pStyle w:val="Textoindependiente"/>
        <w:spacing w:line="276" w:lineRule="auto"/>
      </w:pPr>
    </w:p>
    <w:p w:rsidR="00C272ED" w:rsidRDefault="00461208" w:rsidP="00861854">
      <w:pPr>
        <w:spacing w:after="0" w:line="276" w:lineRule="auto"/>
        <w:jc w:val="center"/>
        <w:rPr>
          <w:rFonts w:ascii="Futura Lt BT" w:hAnsi="Futura Lt BT" w:cs="Courier New"/>
          <w:sz w:val="24"/>
          <w:szCs w:val="24"/>
          <w:lang w:val="es-MX"/>
        </w:rPr>
      </w:pPr>
      <w:r w:rsidRPr="00461208">
        <w:rPr>
          <w:noProof/>
        </w:rPr>
        <w:drawing>
          <wp:inline distT="0" distB="0" distL="0" distR="0">
            <wp:extent cx="2695498" cy="253646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t="5900"/>
                    <a:stretch/>
                  </pic:blipFill>
                  <pic:spPr bwMode="auto">
                    <a:xfrm>
                      <a:off x="0" y="0"/>
                      <a:ext cx="2695498" cy="2536466"/>
                    </a:xfrm>
                    <a:prstGeom prst="rect">
                      <a:avLst/>
                    </a:prstGeom>
                    <a:noFill/>
                    <a:ln>
                      <a:noFill/>
                    </a:ln>
                    <a:extLst>
                      <a:ext uri="{53640926-AAD7-44D8-BBD7-CCE9431645EC}">
                        <a14:shadowObscured xmlns:a14="http://schemas.microsoft.com/office/drawing/2010/main"/>
                      </a:ext>
                    </a:extLst>
                  </pic:spPr>
                </pic:pic>
              </a:graphicData>
            </a:graphic>
          </wp:inline>
        </w:drawing>
      </w:r>
    </w:p>
    <w:p w:rsidR="008A43F0" w:rsidRDefault="008A43F0" w:rsidP="000200A3">
      <w:pPr>
        <w:pStyle w:val="Textoindependiente"/>
        <w:spacing w:line="276" w:lineRule="auto"/>
      </w:pPr>
      <w:bookmarkStart w:id="18" w:name="_Hlk98756128"/>
      <w:bookmarkStart w:id="19" w:name="_Hlk51321997"/>
      <w:bookmarkStart w:id="20" w:name="_Hlk77683083"/>
      <w:bookmarkStart w:id="21" w:name="_Hlk149306072"/>
    </w:p>
    <w:p w:rsidR="008A43F0" w:rsidRDefault="008A43F0" w:rsidP="000200A3">
      <w:pPr>
        <w:pStyle w:val="Textoindependiente"/>
        <w:spacing w:line="276" w:lineRule="auto"/>
      </w:pPr>
    </w:p>
    <w:p w:rsidR="002C10A6" w:rsidRDefault="002C10A6" w:rsidP="000200A3">
      <w:pPr>
        <w:pStyle w:val="Textoindependiente"/>
        <w:spacing w:line="276" w:lineRule="auto"/>
      </w:pPr>
      <w:r w:rsidRPr="0067277B">
        <w:t xml:space="preserve">Como resultado del saldo de la cuenta corriente y de capital, </w:t>
      </w:r>
      <w:r w:rsidR="00152CB7" w:rsidRPr="0067277B">
        <w:t xml:space="preserve">en el </w:t>
      </w:r>
      <w:r w:rsidR="007939D2" w:rsidRPr="0067277B">
        <w:t>tercer</w:t>
      </w:r>
      <w:r w:rsidR="00152CB7" w:rsidRPr="0067277B">
        <w:t xml:space="preserve"> trimestre de 2023</w:t>
      </w:r>
      <w:r w:rsidR="00461208">
        <w:t>,</w:t>
      </w:r>
      <w:r w:rsidR="00152CB7" w:rsidRPr="0067277B">
        <w:t xml:space="preserve"> </w:t>
      </w:r>
      <w:r w:rsidRPr="0067277B">
        <w:t xml:space="preserve">la balanza de pagos registró </w:t>
      </w:r>
      <w:r w:rsidR="00A47A1A" w:rsidRPr="0067277B">
        <w:t xml:space="preserve">flujo </w:t>
      </w:r>
      <w:r w:rsidR="00202520" w:rsidRPr="0067277B">
        <w:t>de préstamo</w:t>
      </w:r>
      <w:r w:rsidR="00FE7956" w:rsidRPr="0067277B">
        <w:t xml:space="preserve"> neto hacia el</w:t>
      </w:r>
      <w:r w:rsidR="00A47A1A" w:rsidRPr="0067277B">
        <w:t xml:space="preserve"> </w:t>
      </w:r>
      <w:r w:rsidRPr="0067277B">
        <w:t xml:space="preserve">exterior </w:t>
      </w:r>
      <w:r w:rsidR="00A47A1A" w:rsidRPr="0067277B">
        <w:t xml:space="preserve">por </w:t>
      </w:r>
      <w:r w:rsidR="00F75A17">
        <w:t>322.2</w:t>
      </w:r>
      <w:r w:rsidRPr="0067277B">
        <w:t xml:space="preserve"> millones de dólares</w:t>
      </w:r>
      <w:bookmarkEnd w:id="18"/>
      <w:r w:rsidRPr="0067277B">
        <w:t xml:space="preserve"> </w:t>
      </w:r>
      <w:bookmarkEnd w:id="19"/>
      <w:r w:rsidR="00FE7956" w:rsidRPr="0067277B">
        <w:t>(</w:t>
      </w:r>
      <w:r w:rsidR="007939D2" w:rsidRPr="0067277B">
        <w:t>-</w:t>
      </w:r>
      <w:r w:rsidR="00FE7956" w:rsidRPr="0067277B">
        <w:t>US$</w:t>
      </w:r>
      <w:r w:rsidR="00F75A17">
        <w:t>33.4</w:t>
      </w:r>
      <w:r w:rsidR="00A47A1A" w:rsidRPr="0067277B">
        <w:t xml:space="preserve"> millones en</w:t>
      </w:r>
      <w:r w:rsidR="00FE7956" w:rsidRPr="0067277B">
        <w:t xml:space="preserve"> el </w:t>
      </w:r>
      <w:r w:rsidR="007939D2" w:rsidRPr="0067277B">
        <w:t>tercer</w:t>
      </w:r>
      <w:r w:rsidR="00FE7956" w:rsidRPr="0067277B">
        <w:t xml:space="preserve"> trimestre de</w:t>
      </w:r>
      <w:r w:rsidR="00A47A1A" w:rsidRPr="0067277B">
        <w:t xml:space="preserve"> 2022</w:t>
      </w:r>
      <w:r w:rsidR="00FE7956" w:rsidRPr="0067277B">
        <w:t>)</w:t>
      </w:r>
      <w:r w:rsidRPr="0067277B">
        <w:t>.</w:t>
      </w:r>
      <w:r w:rsidR="00FE7956" w:rsidRPr="0067277B">
        <w:t xml:space="preserve"> Así, e</w:t>
      </w:r>
      <w:r w:rsidR="00152CB7" w:rsidRPr="0067277B">
        <w:t xml:space="preserve">l resultado </w:t>
      </w:r>
      <w:r w:rsidR="00FE7956" w:rsidRPr="0067277B">
        <w:t>acumulado</w:t>
      </w:r>
      <w:r w:rsidR="00152CB7" w:rsidRPr="0067277B">
        <w:t xml:space="preserve"> en enero-</w:t>
      </w:r>
      <w:r w:rsidR="007939D2" w:rsidRPr="0067277B">
        <w:t>septiembre</w:t>
      </w:r>
      <w:r w:rsidR="00FE7956" w:rsidRPr="0067277B">
        <w:t xml:space="preserve"> </w:t>
      </w:r>
      <w:r w:rsidR="00152CB7" w:rsidRPr="0067277B">
        <w:t xml:space="preserve">fue de </w:t>
      </w:r>
      <w:r w:rsidR="00FE7956" w:rsidRPr="0067277B">
        <w:t xml:space="preserve">un flujo neto de capital hacia el exterior de </w:t>
      </w:r>
      <w:r w:rsidR="007939D2" w:rsidRPr="0067277B">
        <w:t>1,</w:t>
      </w:r>
      <w:r w:rsidR="00F75A17">
        <w:t>220.6</w:t>
      </w:r>
      <w:r w:rsidR="00FE7956" w:rsidRPr="0067277B">
        <w:t xml:space="preserve"> millones de dólares</w:t>
      </w:r>
      <w:r w:rsidR="00152CB7" w:rsidRPr="0067277B">
        <w:t xml:space="preserve">, </w:t>
      </w:r>
      <w:r w:rsidR="00FE7956" w:rsidRPr="0067277B">
        <w:t xml:space="preserve">contrario al endeudamiento neto de </w:t>
      </w:r>
      <w:r w:rsidR="00F75A17">
        <w:t>162.6</w:t>
      </w:r>
      <w:r w:rsidR="00FE7956" w:rsidRPr="0067277B">
        <w:t xml:space="preserve"> millones en el </w:t>
      </w:r>
      <w:r w:rsidR="00BF6AF6" w:rsidRPr="0067277B">
        <w:t>mismo período</w:t>
      </w:r>
      <w:r w:rsidR="00FE7956" w:rsidRPr="0067277B">
        <w:t xml:space="preserve"> de 2022.</w:t>
      </w:r>
    </w:p>
    <w:p w:rsidR="004E2633" w:rsidRDefault="004E2633" w:rsidP="000200A3">
      <w:pPr>
        <w:pStyle w:val="Textoindependiente"/>
        <w:spacing w:line="276" w:lineRule="auto"/>
        <w:rPr>
          <w:noProof/>
          <w:sz w:val="28"/>
          <w:lang w:eastAsia="es-NI"/>
        </w:rPr>
      </w:pPr>
    </w:p>
    <w:p w:rsidR="008D7316" w:rsidRDefault="008D7316" w:rsidP="000200A3">
      <w:pPr>
        <w:pStyle w:val="Textoindependiente"/>
        <w:spacing w:line="276" w:lineRule="auto"/>
        <w:rPr>
          <w:noProof/>
          <w:sz w:val="28"/>
          <w:lang w:eastAsia="es-NI"/>
        </w:rPr>
      </w:pPr>
    </w:p>
    <w:p w:rsidR="008D7316" w:rsidRDefault="008D7316" w:rsidP="000200A3">
      <w:pPr>
        <w:pStyle w:val="Textoindependiente"/>
        <w:spacing w:line="276" w:lineRule="auto"/>
        <w:rPr>
          <w:noProof/>
          <w:sz w:val="28"/>
          <w:lang w:eastAsia="es-NI"/>
        </w:rPr>
      </w:pPr>
    </w:p>
    <w:p w:rsidR="008D7316" w:rsidRDefault="008D7316" w:rsidP="000200A3">
      <w:pPr>
        <w:pStyle w:val="Textoindependiente"/>
        <w:spacing w:line="276" w:lineRule="auto"/>
        <w:rPr>
          <w:noProof/>
          <w:sz w:val="28"/>
          <w:lang w:eastAsia="es-NI"/>
        </w:rPr>
      </w:pPr>
    </w:p>
    <w:bookmarkEnd w:id="20"/>
    <w:bookmarkEnd w:id="21"/>
    <w:p w:rsidR="00D861D3" w:rsidRDefault="00D861D3">
      <w:pPr>
        <w:rPr>
          <w:rFonts w:ascii="Futura Md BT" w:eastAsia="MS Mincho" w:hAnsi="Futura Md BT" w:cs="Arial"/>
          <w:b/>
          <w:bCs/>
          <w:color w:val="004B85"/>
          <w:kern w:val="32"/>
          <w:sz w:val="28"/>
          <w:szCs w:val="28"/>
          <w:lang w:val="es-ES" w:eastAsia="es-ES"/>
        </w:rPr>
      </w:pPr>
      <w:r>
        <w:br w:type="page"/>
      </w:r>
    </w:p>
    <w:p w:rsidR="00E36BC3" w:rsidRDefault="0070746B" w:rsidP="00D3743F">
      <w:pPr>
        <w:pStyle w:val="Estilo2"/>
        <w:ind w:left="862"/>
      </w:pPr>
      <w:r>
        <w:lastRenderedPageBreak/>
        <w:t>A</w:t>
      </w:r>
      <w:r w:rsidR="003440D3">
        <w:t>nexo</w:t>
      </w:r>
      <w:r w:rsidR="00D56766">
        <w:t xml:space="preserve"> estadístico</w:t>
      </w:r>
    </w:p>
    <w:p w:rsidR="00D861D3" w:rsidRDefault="00D861D3" w:rsidP="00D3743F">
      <w:pPr>
        <w:pStyle w:val="Estilo2"/>
        <w:ind w:left="862"/>
      </w:pPr>
      <w:r w:rsidRPr="00D861D3">
        <w:rPr>
          <w:noProof/>
        </w:rPr>
        <w:drawing>
          <wp:anchor distT="0" distB="0" distL="114300" distR="114300" simplePos="0" relativeHeight="251815936" behindDoc="0" locked="0" layoutInCell="1" allowOverlap="1">
            <wp:simplePos x="0" y="0"/>
            <wp:positionH relativeFrom="margin">
              <wp:align>right</wp:align>
            </wp:positionH>
            <wp:positionV relativeFrom="paragraph">
              <wp:posOffset>288925</wp:posOffset>
            </wp:positionV>
            <wp:extent cx="5447665" cy="7752080"/>
            <wp:effectExtent l="0" t="0" r="635" b="127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7665" cy="77520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861D3">
      <w:headerReference w:type="default" r:id="rId1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3B50" w16cex:dateUtc="2023-05-04T20:10:00Z"/>
  <w16cex:commentExtensible w16cex:durableId="27FE3C86" w16cex:dateUtc="2023-05-04T20:15:00Z"/>
  <w16cex:commentExtensible w16cex:durableId="27FE3E25" w16cex:dateUtc="2023-05-04T20:22:00Z"/>
  <w16cex:commentExtensible w16cex:durableId="27FE3EAC" w16cex:dateUtc="2023-05-04T20: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E53" w:rsidRDefault="005D5E53" w:rsidP="00915142">
      <w:pPr>
        <w:spacing w:after="0" w:line="240" w:lineRule="auto"/>
      </w:pPr>
      <w:r>
        <w:separator/>
      </w:r>
    </w:p>
  </w:endnote>
  <w:endnote w:type="continuationSeparator" w:id="0">
    <w:p w:rsidR="005D5E53" w:rsidRDefault="005D5E53" w:rsidP="0091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d BT">
    <w:altName w:val="Century Gothic"/>
    <w:panose1 w:val="020B06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E53" w:rsidRDefault="005D5E53" w:rsidP="00915142">
      <w:pPr>
        <w:spacing w:after="0" w:line="240" w:lineRule="auto"/>
      </w:pPr>
      <w:r>
        <w:separator/>
      </w:r>
    </w:p>
  </w:footnote>
  <w:footnote w:type="continuationSeparator" w:id="0">
    <w:p w:rsidR="005D5E53" w:rsidRDefault="005D5E53" w:rsidP="00915142">
      <w:pPr>
        <w:spacing w:after="0" w:line="240" w:lineRule="auto"/>
      </w:pPr>
      <w:r>
        <w:continuationSeparator/>
      </w:r>
    </w:p>
  </w:footnote>
  <w:footnote w:id="1">
    <w:p w:rsidR="007F352D" w:rsidRPr="007F352D" w:rsidRDefault="007F352D">
      <w:pPr>
        <w:pStyle w:val="Textonotapie"/>
        <w:rPr>
          <w:lang w:val="es-MX"/>
        </w:rPr>
      </w:pPr>
      <w:r>
        <w:rPr>
          <w:rStyle w:val="Refdenotaalpie"/>
        </w:rPr>
        <w:footnoteRef/>
      </w:r>
      <w:r>
        <w:t xml:space="preserve"> </w:t>
      </w:r>
      <w:r w:rsidRPr="00DF079A">
        <w:rPr>
          <w:rFonts w:ascii="Futura Lt BT" w:hAnsi="Futura Lt BT" w:cs="Segoe UI"/>
          <w:color w:val="51545D"/>
          <w:sz w:val="18"/>
          <w:szCs w:val="18"/>
          <w:shd w:val="clear" w:color="auto" w:fill="FFFFFF"/>
        </w:rPr>
        <w:t>La Balanza de Pagos resume las transacciones económicas entre residentes y no residentes durante un período determinado. Las cuentas que conforman la BP se organizan de cuerdo a la naturaleza de los recursos económicos suministrados y recibidos. La cuenta corriente muestra las transacciones de bienes, servicios, ingreso primario (renta) e ingreso secundario (</w:t>
      </w:r>
      <w:hyperlink r:id="rId1" w:tgtFrame="_blank" w:history="1">
        <w:r w:rsidRPr="00DF079A">
          <w:rPr>
            <w:rFonts w:ascii="Futura Lt BT" w:hAnsi="Futura Lt BT" w:cs="Segoe UI"/>
            <w:color w:val="51545D"/>
            <w:sz w:val="18"/>
            <w:szCs w:val="18"/>
            <w:shd w:val="clear" w:color="auto" w:fill="FFFFFF"/>
          </w:rPr>
          <w:t>transferencias corrientes</w:t>
        </w:r>
      </w:hyperlink>
      <w:r w:rsidRPr="00DF079A">
        <w:rPr>
          <w:rFonts w:ascii="Futura Lt BT" w:hAnsi="Futura Lt BT" w:cs="Segoe UI"/>
          <w:color w:val="51545D"/>
          <w:sz w:val="18"/>
          <w:szCs w:val="18"/>
          <w:shd w:val="clear" w:color="auto" w:fill="FFFFFF"/>
        </w:rPr>
        <w:t>).</w:t>
      </w:r>
    </w:p>
  </w:footnote>
  <w:footnote w:id="2">
    <w:p w:rsidR="00D86268" w:rsidRPr="008C0859" w:rsidRDefault="00D86268" w:rsidP="00D86268">
      <w:pPr>
        <w:pStyle w:val="Textonotapie"/>
        <w:jc w:val="both"/>
        <w:rPr>
          <w:lang w:val="es-MX"/>
        </w:rPr>
      </w:pPr>
      <w:r>
        <w:rPr>
          <w:rStyle w:val="Refdenotaalpie"/>
        </w:rPr>
        <w:footnoteRef/>
      </w:r>
      <w:r>
        <w:t xml:space="preserve"> </w:t>
      </w:r>
      <w:r>
        <w:rPr>
          <w:rFonts w:ascii="Futura Lt BT" w:hAnsi="Futura Lt BT" w:cs="Segoe UI"/>
          <w:color w:val="51545D"/>
          <w:sz w:val="18"/>
          <w:szCs w:val="18"/>
          <w:shd w:val="clear" w:color="auto" w:fill="FFFFFF"/>
        </w:rPr>
        <w:t xml:space="preserve">Conforme el VI Manual de </w:t>
      </w:r>
      <w:r w:rsidRPr="00DF079A">
        <w:rPr>
          <w:rFonts w:ascii="Futura Lt BT" w:hAnsi="Futura Lt BT" w:cs="Segoe UI"/>
          <w:color w:val="51545D"/>
          <w:sz w:val="18"/>
          <w:szCs w:val="18"/>
          <w:shd w:val="clear" w:color="auto" w:fill="FFFFFF"/>
        </w:rPr>
        <w:t>Balanza de Pagos</w:t>
      </w:r>
      <w:r>
        <w:rPr>
          <w:rFonts w:ascii="Futura Lt BT" w:hAnsi="Futura Lt BT" w:cs="Segoe UI"/>
          <w:color w:val="51545D"/>
          <w:sz w:val="18"/>
          <w:szCs w:val="18"/>
          <w:shd w:val="clear" w:color="auto" w:fill="FFFFFF"/>
        </w:rPr>
        <w:t>, las importaciones de bienes excluyen las importaciones brutas de insumos para la maquila bajo el régimen de zona franca, las cuales se registran de manera neta en la cuenta de servicio de manufactura para la transformación de bienes.</w:t>
      </w:r>
    </w:p>
  </w:footnote>
  <w:footnote w:id="3">
    <w:p w:rsidR="002C10A6" w:rsidRPr="002C10A6" w:rsidRDefault="002C10A6">
      <w:pPr>
        <w:pStyle w:val="Textonotapie"/>
        <w:rPr>
          <w:lang w:val="es-MX"/>
        </w:rPr>
      </w:pPr>
      <w:r>
        <w:rPr>
          <w:rStyle w:val="Refdenotaalpie"/>
        </w:rPr>
        <w:footnoteRef/>
      </w:r>
      <w:r>
        <w:t xml:space="preserve"> </w:t>
      </w:r>
      <w:r>
        <w:rPr>
          <w:rFonts w:ascii="Futura Lt BT" w:hAnsi="Futura Lt BT" w:cs="Segoe UI"/>
          <w:color w:val="51545D"/>
          <w:shd w:val="clear" w:color="auto" w:fill="FFFFFF"/>
        </w:rPr>
        <w:t>L</w:t>
      </w:r>
      <w:r w:rsidRPr="00A85CB3">
        <w:rPr>
          <w:rFonts w:ascii="Futura Lt BT" w:hAnsi="Futura Lt BT" w:cs="Segoe UI"/>
          <w:color w:val="51545D"/>
          <w:shd w:val="clear" w:color="auto" w:fill="FFFFFF"/>
        </w:rPr>
        <w:t>a </w:t>
      </w:r>
      <w:hyperlink r:id="rId2" w:history="1">
        <w:r w:rsidRPr="00A85CB3">
          <w:rPr>
            <w:rFonts w:ascii="Futura Lt BT" w:hAnsi="Futura Lt BT" w:cs="Segoe UI"/>
            <w:color w:val="51545D"/>
            <w:shd w:val="clear" w:color="auto" w:fill="FFFFFF"/>
          </w:rPr>
          <w:t>cuenta de capital</w:t>
        </w:r>
      </w:hyperlink>
      <w:r w:rsidRPr="00A85CB3">
        <w:rPr>
          <w:rFonts w:ascii="Futura Lt BT" w:hAnsi="Futura Lt BT" w:cs="Segoe UI"/>
          <w:color w:val="51545D"/>
          <w:shd w:val="clear" w:color="auto" w:fill="FFFFFF"/>
        </w:rPr>
        <w:t xml:space="preserve"> refleja las operaciones asociadas </w:t>
      </w:r>
      <w:r>
        <w:rPr>
          <w:rFonts w:ascii="Futura Lt BT" w:hAnsi="Futura Lt BT" w:cs="Segoe UI"/>
          <w:color w:val="51545D"/>
          <w:shd w:val="clear" w:color="auto" w:fill="FFFFFF"/>
        </w:rPr>
        <w:t xml:space="preserve">con </w:t>
      </w:r>
      <w:r w:rsidRPr="00A85CB3">
        <w:rPr>
          <w:rFonts w:ascii="Futura Lt BT" w:hAnsi="Futura Lt BT" w:cs="Segoe UI"/>
          <w:color w:val="51545D"/>
          <w:shd w:val="clear" w:color="auto" w:fill="FFFFFF"/>
        </w:rPr>
        <w:t>activos no financieros no producidos y las transferencias de capital entre residentes y no residentes. Por su parte, la cuenta financiera muestra la adquisición y disposición netas de activos y pasivos financieros por tipo de inversión: </w:t>
      </w:r>
      <w:hyperlink r:id="rId3" w:history="1">
        <w:r w:rsidRPr="00A85CB3">
          <w:rPr>
            <w:rFonts w:ascii="Futura Lt BT" w:hAnsi="Futura Lt BT" w:cs="Segoe UI"/>
            <w:color w:val="51545D"/>
            <w:shd w:val="clear" w:color="auto" w:fill="FFFFFF"/>
          </w:rPr>
          <w:t>inversión extranjera directa</w:t>
        </w:r>
      </w:hyperlink>
      <w:hyperlink r:id="rId4" w:tgtFrame="_blank" w:history="1">
        <w:r w:rsidRPr="00A85CB3">
          <w:rPr>
            <w:rFonts w:ascii="Futura Lt BT" w:hAnsi="Futura Lt BT" w:cs="Segoe UI"/>
            <w:color w:val="51545D"/>
            <w:shd w:val="clear" w:color="auto" w:fill="FFFFFF"/>
          </w:rPr>
          <w:t>;</w:t>
        </w:r>
      </w:hyperlink>
      <w:r w:rsidRPr="00A85CB3">
        <w:rPr>
          <w:rFonts w:ascii="Futura Lt BT" w:hAnsi="Futura Lt BT" w:cs="Segoe UI"/>
          <w:color w:val="51545D"/>
          <w:shd w:val="clear" w:color="auto" w:fill="FFFFFF"/>
        </w:rPr>
        <w:t> inversión de cartera; instrumentos financieros derivados; otra inversión y </w:t>
      </w:r>
      <w:hyperlink r:id="rId5" w:tgtFrame="_blank" w:history="1">
        <w:r w:rsidRPr="00A85CB3">
          <w:rPr>
            <w:rFonts w:ascii="Futura Lt BT" w:hAnsi="Futura Lt BT" w:cs="Segoe UI"/>
            <w:color w:val="51545D"/>
            <w:shd w:val="clear" w:color="auto" w:fill="FFFFFF"/>
          </w:rPr>
          <w:t>activos de reserva</w:t>
        </w:r>
      </w:hyperlink>
      <w:r>
        <w:rPr>
          <w:rFonts w:ascii="Futura Lt BT" w:hAnsi="Futura Lt BT" w:cs="Segoe UI"/>
          <w:color w:val="51545D"/>
          <w:shd w:val="clear" w:color="auto" w:fill="FFFFFF"/>
        </w:rPr>
        <w:t>.</w:t>
      </w:r>
    </w:p>
  </w:footnote>
  <w:footnote w:id="4">
    <w:p w:rsidR="002C10A6" w:rsidRPr="008C0859" w:rsidRDefault="002C10A6" w:rsidP="002C10A6">
      <w:pPr>
        <w:pStyle w:val="Textonotapie"/>
        <w:jc w:val="both"/>
        <w:rPr>
          <w:lang w:val="es-MX"/>
        </w:rPr>
      </w:pPr>
      <w:r>
        <w:rPr>
          <w:rStyle w:val="Refdenotaalpie"/>
        </w:rPr>
        <w:footnoteRef/>
      </w:r>
      <w:r>
        <w:rPr>
          <w:rFonts w:ascii="Futura Lt BT" w:hAnsi="Futura Lt BT" w:cs="Segoe UI"/>
          <w:color w:val="51545D"/>
          <w:sz w:val="18"/>
          <w:szCs w:val="18"/>
          <w:shd w:val="clear" w:color="auto" w:fill="FFFFFF"/>
        </w:rPr>
        <w:t xml:space="preserve"> Los Activos de Reservas del BCN registrados en la Balanza de Pagos no incluyen los saldos del FOGADE y variaciones cambiarias. Las RIB incluyen activos del FOGADE y otras variaciones.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B3A" w:rsidRPr="00EE444E" w:rsidRDefault="00EE444E" w:rsidP="00EE444E">
    <w:pPr>
      <w:pStyle w:val="Encabezado"/>
      <w:jc w:val="right"/>
      <w:rPr>
        <w:rFonts w:ascii="Futura Lt BT" w:hAnsi="Futura Lt BT"/>
      </w:rPr>
    </w:pPr>
    <w:r w:rsidRPr="00EE444E">
      <w:rPr>
        <w:rFonts w:ascii="Futura Lt BT" w:hAnsi="Futura Lt BT"/>
        <w:noProof/>
      </w:rPr>
      <mc:AlternateContent>
        <mc:Choice Requires="wps">
          <w:drawing>
            <wp:anchor distT="0" distB="0" distL="118745" distR="118745" simplePos="0" relativeHeight="251661312" behindDoc="1" locked="0" layoutInCell="1" allowOverlap="0" wp14:anchorId="3AC4B34A" wp14:editId="271EED8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3" name="Rectángulo 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i</w:t>
                          </w:r>
                          <w:r w:rsidR="000633F5">
                            <w:rPr>
                              <w:rFonts w:ascii="Futura Lt BT" w:hAnsi="Futura Lt BT"/>
                              <w:caps/>
                              <w:color w:val="FFFFFF" w:themeColor="background1"/>
                              <w:sz w:val="20"/>
                              <w:szCs w:val="20"/>
                            </w:rPr>
                            <w:t>I</w:t>
                          </w:r>
                          <w:r w:rsidR="00104BB8">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 xml:space="preserve"> trimestre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AC4B34A" id="Rectángulo 3" o:spid="_x0000_s1028"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DUbduaVAgAAlQUAAA4AAAAAAAAAAAAAAAAALgIAAGRycy9lMm9Eb2MueG1s&#10;UEsBAi0AFAAGAAgAAAAhAJe3R1vcAAAABAEAAA8AAAAAAAAAAAAAAAAA7wQAAGRycy9kb3ducmV2&#10;LnhtbFBLBQYAAAAABAAEAPMAAAD4BQAAAAA=&#10;" o:allowoverlap="f" fillcolor="#4472c4 [3204]" stroked="f" strokeweight="1pt">
              <v:textbox style="mso-fit-shape-to-text:t">
                <w:txbxContent>
                  <w:p w:rsidR="00EE444E" w:rsidRPr="00EE444E" w:rsidRDefault="00EE444E" w:rsidP="00EE444E">
                    <w:pPr>
                      <w:pStyle w:val="Encabezado"/>
                      <w:jc w:val="right"/>
                      <w:rPr>
                        <w:rFonts w:ascii="Futura Lt BT" w:hAnsi="Futura Lt BT"/>
                        <w:caps/>
                        <w:color w:val="FFFFFF" w:themeColor="background1"/>
                        <w:sz w:val="20"/>
                        <w:szCs w:val="20"/>
                      </w:rPr>
                    </w:pPr>
                    <w:r w:rsidRPr="00EE444E">
                      <w:rPr>
                        <w:rFonts w:ascii="Futura Lt BT" w:hAnsi="Futura Lt BT"/>
                        <w:caps/>
                        <w:color w:val="FFFFFF" w:themeColor="background1"/>
                        <w:sz w:val="20"/>
                        <w:szCs w:val="20"/>
                      </w:rPr>
                      <w:t xml:space="preserve">Informe de </w:t>
                    </w:r>
                    <w:r w:rsidR="007F352D">
                      <w:rPr>
                        <w:rFonts w:ascii="Futura Lt BT" w:hAnsi="Futura Lt BT"/>
                        <w:caps/>
                        <w:color w:val="FFFFFF" w:themeColor="background1"/>
                        <w:sz w:val="20"/>
                        <w:szCs w:val="20"/>
                      </w:rPr>
                      <w:t>balanza de pagos</w:t>
                    </w:r>
                    <w:r w:rsidRPr="00EE444E">
                      <w:rPr>
                        <w:rFonts w:ascii="Futura Lt BT" w:hAnsi="Futura Lt BT"/>
                        <w:caps/>
                        <w:color w:val="FFFFFF" w:themeColor="background1"/>
                        <w:sz w:val="20"/>
                        <w:szCs w:val="20"/>
                      </w:rPr>
                      <w:t>, i</w:t>
                    </w:r>
                    <w:r w:rsidR="000633F5">
                      <w:rPr>
                        <w:rFonts w:ascii="Futura Lt BT" w:hAnsi="Futura Lt BT"/>
                        <w:caps/>
                        <w:color w:val="FFFFFF" w:themeColor="background1"/>
                        <w:sz w:val="20"/>
                        <w:szCs w:val="20"/>
                      </w:rPr>
                      <w:t>I</w:t>
                    </w:r>
                    <w:r w:rsidR="00104BB8">
                      <w:rPr>
                        <w:rFonts w:ascii="Futura Lt BT" w:hAnsi="Futura Lt BT"/>
                        <w:caps/>
                        <w:color w:val="FFFFFF" w:themeColor="background1"/>
                        <w:sz w:val="20"/>
                        <w:szCs w:val="20"/>
                      </w:rPr>
                      <w:t>I</w:t>
                    </w:r>
                    <w:r w:rsidRPr="00EE444E">
                      <w:rPr>
                        <w:rFonts w:ascii="Futura Lt BT" w:hAnsi="Futura Lt BT"/>
                        <w:caps/>
                        <w:color w:val="FFFFFF" w:themeColor="background1"/>
                        <w:sz w:val="20"/>
                        <w:szCs w:val="20"/>
                      </w:rPr>
                      <w:t xml:space="preserve"> trimestre 2023</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C7A57"/>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195E6590"/>
    <w:multiLevelType w:val="multilevel"/>
    <w:tmpl w:val="02A0F2F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BC918EC"/>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DBE2640"/>
    <w:multiLevelType w:val="multilevel"/>
    <w:tmpl w:val="8C425C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750CE"/>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B600320"/>
    <w:multiLevelType w:val="multilevel"/>
    <w:tmpl w:val="215E5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8A0AB4"/>
    <w:multiLevelType w:val="hybridMultilevel"/>
    <w:tmpl w:val="80F6BA28"/>
    <w:lvl w:ilvl="0" w:tplc="12D26724">
      <w:start w:val="1"/>
      <w:numFmt w:val="upperRoman"/>
      <w:lvlText w:val="%1."/>
      <w:lvlJc w:val="left"/>
      <w:pPr>
        <w:ind w:left="862" w:hanging="72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20"/>
    <w:rsid w:val="00000223"/>
    <w:rsid w:val="00007036"/>
    <w:rsid w:val="0000795D"/>
    <w:rsid w:val="00012A6C"/>
    <w:rsid w:val="00013847"/>
    <w:rsid w:val="000200A3"/>
    <w:rsid w:val="00022E6E"/>
    <w:rsid w:val="00027B32"/>
    <w:rsid w:val="00041CD4"/>
    <w:rsid w:val="00047BB0"/>
    <w:rsid w:val="00054320"/>
    <w:rsid w:val="00055031"/>
    <w:rsid w:val="000602DB"/>
    <w:rsid w:val="00062084"/>
    <w:rsid w:val="000633F5"/>
    <w:rsid w:val="000636F0"/>
    <w:rsid w:val="00065A75"/>
    <w:rsid w:val="00073235"/>
    <w:rsid w:val="000736E6"/>
    <w:rsid w:val="00076082"/>
    <w:rsid w:val="00077E14"/>
    <w:rsid w:val="00087272"/>
    <w:rsid w:val="000A0619"/>
    <w:rsid w:val="000A0961"/>
    <w:rsid w:val="000A1119"/>
    <w:rsid w:val="000A2793"/>
    <w:rsid w:val="000A2F64"/>
    <w:rsid w:val="000A2F90"/>
    <w:rsid w:val="000A6F1D"/>
    <w:rsid w:val="000A7519"/>
    <w:rsid w:val="000C5235"/>
    <w:rsid w:val="000C7E2E"/>
    <w:rsid w:val="000D68C4"/>
    <w:rsid w:val="000E055D"/>
    <w:rsid w:val="000E0F6C"/>
    <w:rsid w:val="000E1986"/>
    <w:rsid w:val="000E32C9"/>
    <w:rsid w:val="000F2C5D"/>
    <w:rsid w:val="000F65E8"/>
    <w:rsid w:val="000F6867"/>
    <w:rsid w:val="00101559"/>
    <w:rsid w:val="00103118"/>
    <w:rsid w:val="00104BB8"/>
    <w:rsid w:val="001061F5"/>
    <w:rsid w:val="00107074"/>
    <w:rsid w:val="00107CC6"/>
    <w:rsid w:val="00121DF0"/>
    <w:rsid w:val="0012284C"/>
    <w:rsid w:val="00125AF2"/>
    <w:rsid w:val="00125D1B"/>
    <w:rsid w:val="00126AC7"/>
    <w:rsid w:val="0013133D"/>
    <w:rsid w:val="001411A4"/>
    <w:rsid w:val="00144784"/>
    <w:rsid w:val="00146823"/>
    <w:rsid w:val="001474EE"/>
    <w:rsid w:val="00152CB7"/>
    <w:rsid w:val="0015374F"/>
    <w:rsid w:val="00153893"/>
    <w:rsid w:val="001577EC"/>
    <w:rsid w:val="001659C6"/>
    <w:rsid w:val="00176108"/>
    <w:rsid w:val="00177001"/>
    <w:rsid w:val="00180B32"/>
    <w:rsid w:val="00183360"/>
    <w:rsid w:val="001845FE"/>
    <w:rsid w:val="00187FF6"/>
    <w:rsid w:val="00192F52"/>
    <w:rsid w:val="001A2984"/>
    <w:rsid w:val="001A381E"/>
    <w:rsid w:val="001A5EC9"/>
    <w:rsid w:val="001B199D"/>
    <w:rsid w:val="001B3CD8"/>
    <w:rsid w:val="001B43E0"/>
    <w:rsid w:val="001B6455"/>
    <w:rsid w:val="001C0200"/>
    <w:rsid w:val="001C2DC0"/>
    <w:rsid w:val="001D1F20"/>
    <w:rsid w:val="001D22DA"/>
    <w:rsid w:val="001D4217"/>
    <w:rsid w:val="001E48E6"/>
    <w:rsid w:val="001F2CE3"/>
    <w:rsid w:val="001F3A6C"/>
    <w:rsid w:val="00200120"/>
    <w:rsid w:val="00202520"/>
    <w:rsid w:val="00206E38"/>
    <w:rsid w:val="00212E07"/>
    <w:rsid w:val="00246BAB"/>
    <w:rsid w:val="002718F7"/>
    <w:rsid w:val="0027676E"/>
    <w:rsid w:val="00287454"/>
    <w:rsid w:val="002967CD"/>
    <w:rsid w:val="00297983"/>
    <w:rsid w:val="002979FC"/>
    <w:rsid w:val="002A4044"/>
    <w:rsid w:val="002A4E67"/>
    <w:rsid w:val="002A6747"/>
    <w:rsid w:val="002B2604"/>
    <w:rsid w:val="002B3F29"/>
    <w:rsid w:val="002B50C2"/>
    <w:rsid w:val="002B65ED"/>
    <w:rsid w:val="002B77D4"/>
    <w:rsid w:val="002C0399"/>
    <w:rsid w:val="002C10A6"/>
    <w:rsid w:val="002C2BB1"/>
    <w:rsid w:val="002C344B"/>
    <w:rsid w:val="002C537A"/>
    <w:rsid w:val="002C6677"/>
    <w:rsid w:val="002C695D"/>
    <w:rsid w:val="002C7630"/>
    <w:rsid w:val="002D0B5C"/>
    <w:rsid w:val="002D1267"/>
    <w:rsid w:val="002D1A9A"/>
    <w:rsid w:val="002D6429"/>
    <w:rsid w:val="002D6EBA"/>
    <w:rsid w:val="002D7106"/>
    <w:rsid w:val="002E1D03"/>
    <w:rsid w:val="002E5BF6"/>
    <w:rsid w:val="002F5F44"/>
    <w:rsid w:val="00307774"/>
    <w:rsid w:val="00310C46"/>
    <w:rsid w:val="00317203"/>
    <w:rsid w:val="00324FD2"/>
    <w:rsid w:val="0032743A"/>
    <w:rsid w:val="00331348"/>
    <w:rsid w:val="00333ACB"/>
    <w:rsid w:val="003348DE"/>
    <w:rsid w:val="00341354"/>
    <w:rsid w:val="003440D3"/>
    <w:rsid w:val="00345470"/>
    <w:rsid w:val="003469EC"/>
    <w:rsid w:val="0035079B"/>
    <w:rsid w:val="00351D97"/>
    <w:rsid w:val="00352E94"/>
    <w:rsid w:val="00354674"/>
    <w:rsid w:val="00360951"/>
    <w:rsid w:val="003664A0"/>
    <w:rsid w:val="00374415"/>
    <w:rsid w:val="00390A61"/>
    <w:rsid w:val="00394D3C"/>
    <w:rsid w:val="00395240"/>
    <w:rsid w:val="003A5F26"/>
    <w:rsid w:val="003A6912"/>
    <w:rsid w:val="003A7C99"/>
    <w:rsid w:val="003C44C4"/>
    <w:rsid w:val="003D45CC"/>
    <w:rsid w:val="003D4B24"/>
    <w:rsid w:val="003D4CDE"/>
    <w:rsid w:val="003E031E"/>
    <w:rsid w:val="003E7022"/>
    <w:rsid w:val="003F3ABA"/>
    <w:rsid w:val="003F75B2"/>
    <w:rsid w:val="00401415"/>
    <w:rsid w:val="00403216"/>
    <w:rsid w:val="004032BA"/>
    <w:rsid w:val="00413D3A"/>
    <w:rsid w:val="0042513B"/>
    <w:rsid w:val="00425224"/>
    <w:rsid w:val="00426C71"/>
    <w:rsid w:val="00434BDE"/>
    <w:rsid w:val="00435398"/>
    <w:rsid w:val="00437DD8"/>
    <w:rsid w:val="00443A9A"/>
    <w:rsid w:val="004456CE"/>
    <w:rsid w:val="004463D7"/>
    <w:rsid w:val="00460D4E"/>
    <w:rsid w:val="00461208"/>
    <w:rsid w:val="004673D2"/>
    <w:rsid w:val="004717F2"/>
    <w:rsid w:val="00472B24"/>
    <w:rsid w:val="00473332"/>
    <w:rsid w:val="00476553"/>
    <w:rsid w:val="004809E3"/>
    <w:rsid w:val="00481A85"/>
    <w:rsid w:val="00483AB4"/>
    <w:rsid w:val="00486442"/>
    <w:rsid w:val="004908B3"/>
    <w:rsid w:val="0049225B"/>
    <w:rsid w:val="004A07C0"/>
    <w:rsid w:val="004A416B"/>
    <w:rsid w:val="004A73BD"/>
    <w:rsid w:val="004B03A7"/>
    <w:rsid w:val="004B0A51"/>
    <w:rsid w:val="004B26D4"/>
    <w:rsid w:val="004B48C4"/>
    <w:rsid w:val="004B4DC1"/>
    <w:rsid w:val="004C005D"/>
    <w:rsid w:val="004C0918"/>
    <w:rsid w:val="004C14F3"/>
    <w:rsid w:val="004C50D7"/>
    <w:rsid w:val="004C6ECE"/>
    <w:rsid w:val="004D1DD1"/>
    <w:rsid w:val="004E0FE9"/>
    <w:rsid w:val="004E2627"/>
    <w:rsid w:val="004E2633"/>
    <w:rsid w:val="004E4571"/>
    <w:rsid w:val="004E5F61"/>
    <w:rsid w:val="004F1A6A"/>
    <w:rsid w:val="004F38BA"/>
    <w:rsid w:val="004F43B7"/>
    <w:rsid w:val="004F688E"/>
    <w:rsid w:val="004F7758"/>
    <w:rsid w:val="00500454"/>
    <w:rsid w:val="00500D0E"/>
    <w:rsid w:val="00504773"/>
    <w:rsid w:val="005103A4"/>
    <w:rsid w:val="00513FAF"/>
    <w:rsid w:val="0052208F"/>
    <w:rsid w:val="00526784"/>
    <w:rsid w:val="00532145"/>
    <w:rsid w:val="00533429"/>
    <w:rsid w:val="00533AEA"/>
    <w:rsid w:val="00542EC3"/>
    <w:rsid w:val="00544357"/>
    <w:rsid w:val="00545BE9"/>
    <w:rsid w:val="00565EE6"/>
    <w:rsid w:val="00565F19"/>
    <w:rsid w:val="00574CBA"/>
    <w:rsid w:val="0057516A"/>
    <w:rsid w:val="005801C2"/>
    <w:rsid w:val="00583D72"/>
    <w:rsid w:val="0059423B"/>
    <w:rsid w:val="005A47F8"/>
    <w:rsid w:val="005A5427"/>
    <w:rsid w:val="005A7DD4"/>
    <w:rsid w:val="005B074A"/>
    <w:rsid w:val="005B2094"/>
    <w:rsid w:val="005B391A"/>
    <w:rsid w:val="005B573C"/>
    <w:rsid w:val="005C2B12"/>
    <w:rsid w:val="005C3D4B"/>
    <w:rsid w:val="005C4CEA"/>
    <w:rsid w:val="005C7787"/>
    <w:rsid w:val="005D101A"/>
    <w:rsid w:val="005D24A4"/>
    <w:rsid w:val="005D2AB0"/>
    <w:rsid w:val="005D53D2"/>
    <w:rsid w:val="005D5E53"/>
    <w:rsid w:val="005E5ED7"/>
    <w:rsid w:val="005F08C1"/>
    <w:rsid w:val="005F5BF8"/>
    <w:rsid w:val="00602952"/>
    <w:rsid w:val="00602F27"/>
    <w:rsid w:val="006042D7"/>
    <w:rsid w:val="00606F34"/>
    <w:rsid w:val="00607BA1"/>
    <w:rsid w:val="006176FE"/>
    <w:rsid w:val="0062097F"/>
    <w:rsid w:val="006225B3"/>
    <w:rsid w:val="00625C67"/>
    <w:rsid w:val="00634006"/>
    <w:rsid w:val="00650A29"/>
    <w:rsid w:val="006519F9"/>
    <w:rsid w:val="0065487C"/>
    <w:rsid w:val="0065528D"/>
    <w:rsid w:val="0066151D"/>
    <w:rsid w:val="00661DE8"/>
    <w:rsid w:val="0067277B"/>
    <w:rsid w:val="00675403"/>
    <w:rsid w:val="0068201F"/>
    <w:rsid w:val="00683639"/>
    <w:rsid w:val="006840CF"/>
    <w:rsid w:val="00691219"/>
    <w:rsid w:val="006944FB"/>
    <w:rsid w:val="006A17B4"/>
    <w:rsid w:val="006A3FEF"/>
    <w:rsid w:val="006A5524"/>
    <w:rsid w:val="006A59C9"/>
    <w:rsid w:val="006B1D26"/>
    <w:rsid w:val="006B2AC5"/>
    <w:rsid w:val="006C14B7"/>
    <w:rsid w:val="006C2A6C"/>
    <w:rsid w:val="006C3960"/>
    <w:rsid w:val="006D31A3"/>
    <w:rsid w:val="006D45BD"/>
    <w:rsid w:val="006D7AD1"/>
    <w:rsid w:val="006E3F0E"/>
    <w:rsid w:val="006E60B3"/>
    <w:rsid w:val="006F1816"/>
    <w:rsid w:val="006F7296"/>
    <w:rsid w:val="006F7C18"/>
    <w:rsid w:val="00704DCF"/>
    <w:rsid w:val="0070746B"/>
    <w:rsid w:val="0071254A"/>
    <w:rsid w:val="007158FC"/>
    <w:rsid w:val="007326C8"/>
    <w:rsid w:val="00737E32"/>
    <w:rsid w:val="00743028"/>
    <w:rsid w:val="0075213D"/>
    <w:rsid w:val="0076236F"/>
    <w:rsid w:val="00762D02"/>
    <w:rsid w:val="007707A2"/>
    <w:rsid w:val="00771086"/>
    <w:rsid w:val="00773EAF"/>
    <w:rsid w:val="00773FAF"/>
    <w:rsid w:val="007815A0"/>
    <w:rsid w:val="00784485"/>
    <w:rsid w:val="00785F74"/>
    <w:rsid w:val="00786A08"/>
    <w:rsid w:val="007939D2"/>
    <w:rsid w:val="007941AC"/>
    <w:rsid w:val="00797598"/>
    <w:rsid w:val="007A1B33"/>
    <w:rsid w:val="007A3F15"/>
    <w:rsid w:val="007A7D33"/>
    <w:rsid w:val="007B0B97"/>
    <w:rsid w:val="007B529B"/>
    <w:rsid w:val="007B5E31"/>
    <w:rsid w:val="007B69DA"/>
    <w:rsid w:val="007C261F"/>
    <w:rsid w:val="007C266C"/>
    <w:rsid w:val="007D1884"/>
    <w:rsid w:val="007D5436"/>
    <w:rsid w:val="007D5E4E"/>
    <w:rsid w:val="007E1D0B"/>
    <w:rsid w:val="007E5CFA"/>
    <w:rsid w:val="007F0670"/>
    <w:rsid w:val="007F352D"/>
    <w:rsid w:val="007F4941"/>
    <w:rsid w:val="007F6387"/>
    <w:rsid w:val="007F6DDD"/>
    <w:rsid w:val="00803463"/>
    <w:rsid w:val="008076DB"/>
    <w:rsid w:val="008134F6"/>
    <w:rsid w:val="00813FC5"/>
    <w:rsid w:val="0082592C"/>
    <w:rsid w:val="0083106D"/>
    <w:rsid w:val="00831BA1"/>
    <w:rsid w:val="00834829"/>
    <w:rsid w:val="008437F3"/>
    <w:rsid w:val="00844732"/>
    <w:rsid w:val="00854A0E"/>
    <w:rsid w:val="0085711E"/>
    <w:rsid w:val="00861854"/>
    <w:rsid w:val="00861F68"/>
    <w:rsid w:val="00863430"/>
    <w:rsid w:val="00866833"/>
    <w:rsid w:val="00870624"/>
    <w:rsid w:val="00875317"/>
    <w:rsid w:val="00876708"/>
    <w:rsid w:val="00876859"/>
    <w:rsid w:val="00881E41"/>
    <w:rsid w:val="00886C11"/>
    <w:rsid w:val="00890607"/>
    <w:rsid w:val="008930AC"/>
    <w:rsid w:val="00895612"/>
    <w:rsid w:val="00895751"/>
    <w:rsid w:val="00896686"/>
    <w:rsid w:val="0089726E"/>
    <w:rsid w:val="008A0F1B"/>
    <w:rsid w:val="008A176D"/>
    <w:rsid w:val="008A43F0"/>
    <w:rsid w:val="008A7304"/>
    <w:rsid w:val="008A74AE"/>
    <w:rsid w:val="008B27B7"/>
    <w:rsid w:val="008B5C3C"/>
    <w:rsid w:val="008B6367"/>
    <w:rsid w:val="008B6DD6"/>
    <w:rsid w:val="008C77FA"/>
    <w:rsid w:val="008D2AD7"/>
    <w:rsid w:val="008D67EE"/>
    <w:rsid w:val="008D7316"/>
    <w:rsid w:val="008E2A7B"/>
    <w:rsid w:val="008E467E"/>
    <w:rsid w:val="008E5315"/>
    <w:rsid w:val="008E632A"/>
    <w:rsid w:val="008F2052"/>
    <w:rsid w:val="008F2F63"/>
    <w:rsid w:val="00906339"/>
    <w:rsid w:val="00907D6A"/>
    <w:rsid w:val="00910857"/>
    <w:rsid w:val="00913250"/>
    <w:rsid w:val="00914EEB"/>
    <w:rsid w:val="00915142"/>
    <w:rsid w:val="00915317"/>
    <w:rsid w:val="00915F52"/>
    <w:rsid w:val="0091689E"/>
    <w:rsid w:val="00916D97"/>
    <w:rsid w:val="009205EB"/>
    <w:rsid w:val="009209A4"/>
    <w:rsid w:val="009233A0"/>
    <w:rsid w:val="00924837"/>
    <w:rsid w:val="0095052E"/>
    <w:rsid w:val="00967D19"/>
    <w:rsid w:val="00972AB7"/>
    <w:rsid w:val="00973109"/>
    <w:rsid w:val="00981A5A"/>
    <w:rsid w:val="00982820"/>
    <w:rsid w:val="009875D1"/>
    <w:rsid w:val="00991D4D"/>
    <w:rsid w:val="00996939"/>
    <w:rsid w:val="00997316"/>
    <w:rsid w:val="00997E16"/>
    <w:rsid w:val="009B1CA2"/>
    <w:rsid w:val="009C534F"/>
    <w:rsid w:val="009D076A"/>
    <w:rsid w:val="009D2A7C"/>
    <w:rsid w:val="009D2FED"/>
    <w:rsid w:val="009D5861"/>
    <w:rsid w:val="009E2E4B"/>
    <w:rsid w:val="009E2E64"/>
    <w:rsid w:val="009E6A73"/>
    <w:rsid w:val="009E7CCD"/>
    <w:rsid w:val="009F44C8"/>
    <w:rsid w:val="009F7669"/>
    <w:rsid w:val="009F7749"/>
    <w:rsid w:val="00A03667"/>
    <w:rsid w:val="00A11D3D"/>
    <w:rsid w:val="00A14A1F"/>
    <w:rsid w:val="00A21618"/>
    <w:rsid w:val="00A21AA6"/>
    <w:rsid w:val="00A30EEF"/>
    <w:rsid w:val="00A320C9"/>
    <w:rsid w:val="00A329E0"/>
    <w:rsid w:val="00A34759"/>
    <w:rsid w:val="00A3481D"/>
    <w:rsid w:val="00A35F3B"/>
    <w:rsid w:val="00A47A1A"/>
    <w:rsid w:val="00A51412"/>
    <w:rsid w:val="00A64590"/>
    <w:rsid w:val="00A702DF"/>
    <w:rsid w:val="00A75CB4"/>
    <w:rsid w:val="00A77910"/>
    <w:rsid w:val="00A77DE3"/>
    <w:rsid w:val="00A8106F"/>
    <w:rsid w:val="00A824FD"/>
    <w:rsid w:val="00A8346C"/>
    <w:rsid w:val="00A8527E"/>
    <w:rsid w:val="00A85A61"/>
    <w:rsid w:val="00A86622"/>
    <w:rsid w:val="00A875D0"/>
    <w:rsid w:val="00A9472E"/>
    <w:rsid w:val="00A96C7D"/>
    <w:rsid w:val="00AA0913"/>
    <w:rsid w:val="00AA2620"/>
    <w:rsid w:val="00AA554E"/>
    <w:rsid w:val="00AA59C5"/>
    <w:rsid w:val="00AB33D7"/>
    <w:rsid w:val="00AB4336"/>
    <w:rsid w:val="00AD00EB"/>
    <w:rsid w:val="00AD02A8"/>
    <w:rsid w:val="00AD6D6B"/>
    <w:rsid w:val="00AE1BC2"/>
    <w:rsid w:val="00AE25A3"/>
    <w:rsid w:val="00AE569F"/>
    <w:rsid w:val="00AE5D1E"/>
    <w:rsid w:val="00AF23E6"/>
    <w:rsid w:val="00B062D4"/>
    <w:rsid w:val="00B130E0"/>
    <w:rsid w:val="00B1315C"/>
    <w:rsid w:val="00B17336"/>
    <w:rsid w:val="00B212AF"/>
    <w:rsid w:val="00B23264"/>
    <w:rsid w:val="00B30EEC"/>
    <w:rsid w:val="00B3112A"/>
    <w:rsid w:val="00B32777"/>
    <w:rsid w:val="00B45E3D"/>
    <w:rsid w:val="00B5007C"/>
    <w:rsid w:val="00B53813"/>
    <w:rsid w:val="00B56270"/>
    <w:rsid w:val="00B567C7"/>
    <w:rsid w:val="00B56FCA"/>
    <w:rsid w:val="00B61126"/>
    <w:rsid w:val="00B61625"/>
    <w:rsid w:val="00B63311"/>
    <w:rsid w:val="00B63D95"/>
    <w:rsid w:val="00B71C5E"/>
    <w:rsid w:val="00B722CC"/>
    <w:rsid w:val="00B84F56"/>
    <w:rsid w:val="00B852F9"/>
    <w:rsid w:val="00B867B3"/>
    <w:rsid w:val="00B87340"/>
    <w:rsid w:val="00BA0516"/>
    <w:rsid w:val="00BA1A8C"/>
    <w:rsid w:val="00BA4EE9"/>
    <w:rsid w:val="00BA6147"/>
    <w:rsid w:val="00BB0AD3"/>
    <w:rsid w:val="00BC15BB"/>
    <w:rsid w:val="00BC3975"/>
    <w:rsid w:val="00BD0DEE"/>
    <w:rsid w:val="00BE43E7"/>
    <w:rsid w:val="00BE67D3"/>
    <w:rsid w:val="00BE69DE"/>
    <w:rsid w:val="00BF1CD2"/>
    <w:rsid w:val="00BF6AF6"/>
    <w:rsid w:val="00C02A35"/>
    <w:rsid w:val="00C05D8C"/>
    <w:rsid w:val="00C11EF0"/>
    <w:rsid w:val="00C14B81"/>
    <w:rsid w:val="00C161F7"/>
    <w:rsid w:val="00C24383"/>
    <w:rsid w:val="00C272ED"/>
    <w:rsid w:val="00C3252C"/>
    <w:rsid w:val="00C43B37"/>
    <w:rsid w:val="00C45E53"/>
    <w:rsid w:val="00C549F6"/>
    <w:rsid w:val="00C617DA"/>
    <w:rsid w:val="00C629D7"/>
    <w:rsid w:val="00C70B0E"/>
    <w:rsid w:val="00C71FF1"/>
    <w:rsid w:val="00C7226F"/>
    <w:rsid w:val="00C84EB7"/>
    <w:rsid w:val="00C91428"/>
    <w:rsid w:val="00C94B15"/>
    <w:rsid w:val="00C96E09"/>
    <w:rsid w:val="00CA02A8"/>
    <w:rsid w:val="00CA2126"/>
    <w:rsid w:val="00CA4142"/>
    <w:rsid w:val="00CA4FCD"/>
    <w:rsid w:val="00CA7029"/>
    <w:rsid w:val="00CB1FAD"/>
    <w:rsid w:val="00CB278B"/>
    <w:rsid w:val="00CB69BA"/>
    <w:rsid w:val="00CC02AA"/>
    <w:rsid w:val="00CC299B"/>
    <w:rsid w:val="00CC585F"/>
    <w:rsid w:val="00CE0317"/>
    <w:rsid w:val="00CE1AC0"/>
    <w:rsid w:val="00CE546F"/>
    <w:rsid w:val="00CE5E6C"/>
    <w:rsid w:val="00CF7E81"/>
    <w:rsid w:val="00D02B3A"/>
    <w:rsid w:val="00D04412"/>
    <w:rsid w:val="00D070DD"/>
    <w:rsid w:val="00D07407"/>
    <w:rsid w:val="00D10B50"/>
    <w:rsid w:val="00D13456"/>
    <w:rsid w:val="00D170FC"/>
    <w:rsid w:val="00D31DFD"/>
    <w:rsid w:val="00D3474B"/>
    <w:rsid w:val="00D34E9F"/>
    <w:rsid w:val="00D35709"/>
    <w:rsid w:val="00D3743F"/>
    <w:rsid w:val="00D431F1"/>
    <w:rsid w:val="00D4400E"/>
    <w:rsid w:val="00D44B29"/>
    <w:rsid w:val="00D52353"/>
    <w:rsid w:val="00D52C07"/>
    <w:rsid w:val="00D54301"/>
    <w:rsid w:val="00D56766"/>
    <w:rsid w:val="00D57470"/>
    <w:rsid w:val="00D64F0D"/>
    <w:rsid w:val="00D70CC5"/>
    <w:rsid w:val="00D733F8"/>
    <w:rsid w:val="00D848D5"/>
    <w:rsid w:val="00D861D3"/>
    <w:rsid w:val="00D86268"/>
    <w:rsid w:val="00D86993"/>
    <w:rsid w:val="00D97116"/>
    <w:rsid w:val="00D972DD"/>
    <w:rsid w:val="00DA3CE9"/>
    <w:rsid w:val="00DA703C"/>
    <w:rsid w:val="00DB36DE"/>
    <w:rsid w:val="00DB4F45"/>
    <w:rsid w:val="00DB6753"/>
    <w:rsid w:val="00DB6E12"/>
    <w:rsid w:val="00DC0C58"/>
    <w:rsid w:val="00DF5774"/>
    <w:rsid w:val="00E06A24"/>
    <w:rsid w:val="00E129F9"/>
    <w:rsid w:val="00E202CB"/>
    <w:rsid w:val="00E22F00"/>
    <w:rsid w:val="00E232AD"/>
    <w:rsid w:val="00E24289"/>
    <w:rsid w:val="00E3201B"/>
    <w:rsid w:val="00E36BC3"/>
    <w:rsid w:val="00E40B55"/>
    <w:rsid w:val="00E40DC7"/>
    <w:rsid w:val="00E41461"/>
    <w:rsid w:val="00E42257"/>
    <w:rsid w:val="00E51B74"/>
    <w:rsid w:val="00E53A38"/>
    <w:rsid w:val="00E56F3C"/>
    <w:rsid w:val="00E67C52"/>
    <w:rsid w:val="00E70156"/>
    <w:rsid w:val="00E703F2"/>
    <w:rsid w:val="00E82F86"/>
    <w:rsid w:val="00E93300"/>
    <w:rsid w:val="00E9672D"/>
    <w:rsid w:val="00E96B1B"/>
    <w:rsid w:val="00EA11CB"/>
    <w:rsid w:val="00EB0131"/>
    <w:rsid w:val="00EC027B"/>
    <w:rsid w:val="00EC64AF"/>
    <w:rsid w:val="00EC7770"/>
    <w:rsid w:val="00EC7988"/>
    <w:rsid w:val="00ED1FF0"/>
    <w:rsid w:val="00EE1CE7"/>
    <w:rsid w:val="00EE2F2E"/>
    <w:rsid w:val="00EE444E"/>
    <w:rsid w:val="00EF4E0E"/>
    <w:rsid w:val="00EF7567"/>
    <w:rsid w:val="00F1409A"/>
    <w:rsid w:val="00F206EE"/>
    <w:rsid w:val="00F2512B"/>
    <w:rsid w:val="00F27776"/>
    <w:rsid w:val="00F36EE3"/>
    <w:rsid w:val="00F376DC"/>
    <w:rsid w:val="00F425F8"/>
    <w:rsid w:val="00F45B28"/>
    <w:rsid w:val="00F500DB"/>
    <w:rsid w:val="00F528E7"/>
    <w:rsid w:val="00F640D7"/>
    <w:rsid w:val="00F6744B"/>
    <w:rsid w:val="00F70A4A"/>
    <w:rsid w:val="00F73668"/>
    <w:rsid w:val="00F73AE1"/>
    <w:rsid w:val="00F75A17"/>
    <w:rsid w:val="00FA07A5"/>
    <w:rsid w:val="00FA4FC0"/>
    <w:rsid w:val="00FB76C9"/>
    <w:rsid w:val="00FB7CDB"/>
    <w:rsid w:val="00FC18CB"/>
    <w:rsid w:val="00FC2F3E"/>
    <w:rsid w:val="00FC7CEA"/>
    <w:rsid w:val="00FD1E8E"/>
    <w:rsid w:val="00FD2698"/>
    <w:rsid w:val="00FD4006"/>
    <w:rsid w:val="00FD7F96"/>
    <w:rsid w:val="00FE7956"/>
    <w:rsid w:val="00FF7B5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8CCA0"/>
  <w15:chartTrackingRefBased/>
  <w15:docId w15:val="{7A69A1B9-A9E8-4EFE-9CF0-AB89D3B4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7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ar"/>
    <w:uiPriority w:val="9"/>
    <w:unhideWhenUsed/>
    <w:qFormat/>
    <w:rsid w:val="00054320"/>
    <w:pPr>
      <w:keepNext/>
      <w:spacing w:after="0" w:line="480" w:lineRule="auto"/>
      <w:ind w:left="-4819"/>
      <w:jc w:val="center"/>
      <w:outlineLvl w:val="5"/>
    </w:pPr>
    <w:rPr>
      <w:rFonts w:ascii="Futura Md BT" w:eastAsia="Times New Roman" w:hAnsi="Futura Md BT" w:cs="Times New Roman"/>
      <w:b/>
      <w:color w:val="2F5496" w:themeColor="accent1" w:themeShade="BF"/>
      <w:sz w:val="48"/>
      <w:szCs w:val="48"/>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054320"/>
    <w:rPr>
      <w:rFonts w:ascii="Futura Md BT" w:eastAsia="Times New Roman" w:hAnsi="Futura Md BT" w:cs="Times New Roman"/>
      <w:b/>
      <w:color w:val="2F5496" w:themeColor="accent1" w:themeShade="BF"/>
      <w:sz w:val="48"/>
      <w:szCs w:val="48"/>
      <w:lang w:val="es-MX" w:eastAsia="es-ES"/>
    </w:rPr>
  </w:style>
  <w:style w:type="paragraph" w:styleId="NormalWeb">
    <w:name w:val="Normal (Web)"/>
    <w:basedOn w:val="Normal"/>
    <w:uiPriority w:val="99"/>
    <w:unhideWhenUsed/>
    <w:rsid w:val="002A6747"/>
    <w:pPr>
      <w:spacing w:before="100" w:beforeAutospacing="1" w:after="100" w:afterAutospacing="1" w:line="240" w:lineRule="auto"/>
    </w:pPr>
    <w:rPr>
      <w:rFonts w:ascii="Times New Roman" w:eastAsia="Times New Roman" w:hAnsi="Times New Roman" w:cs="Times New Roman"/>
      <w:sz w:val="24"/>
      <w:szCs w:val="24"/>
      <w:lang w:eastAsia="es-NI"/>
    </w:rPr>
  </w:style>
  <w:style w:type="paragraph" w:styleId="Piedepgina">
    <w:name w:val="footer"/>
    <w:basedOn w:val="Normal"/>
    <w:link w:val="PiedepginaCar"/>
    <w:uiPriority w:val="99"/>
    <w:unhideWhenUsed/>
    <w:rsid w:val="002A6747"/>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A674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A674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A6747"/>
    <w:pPr>
      <w:outlineLvl w:val="9"/>
    </w:pPr>
    <w:rPr>
      <w:lang w:eastAsia="es-NI"/>
    </w:rPr>
  </w:style>
  <w:style w:type="paragraph" w:styleId="TDC1">
    <w:name w:val="toc 1"/>
    <w:basedOn w:val="Normal"/>
    <w:next w:val="Normal"/>
    <w:autoRedefine/>
    <w:uiPriority w:val="39"/>
    <w:unhideWhenUsed/>
    <w:rsid w:val="002A6747"/>
    <w:pPr>
      <w:spacing w:after="10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A6747"/>
    <w:rPr>
      <w:color w:val="0563C1" w:themeColor="hyperlink"/>
      <w:u w:val="single"/>
    </w:rPr>
  </w:style>
  <w:style w:type="paragraph" w:customStyle="1" w:styleId="Estilo2">
    <w:name w:val="Estilo2"/>
    <w:basedOn w:val="Ttulo1"/>
    <w:link w:val="Estilo2Car"/>
    <w:qFormat/>
    <w:rsid w:val="00125AF2"/>
    <w:pPr>
      <w:keepLines w:val="0"/>
      <w:spacing w:before="0" w:line="240" w:lineRule="auto"/>
      <w:jc w:val="center"/>
    </w:pPr>
    <w:rPr>
      <w:rFonts w:ascii="Futura Md BT" w:eastAsia="MS Mincho" w:hAnsi="Futura Md BT" w:cs="Arial"/>
      <w:b/>
      <w:bCs/>
      <w:color w:val="004B85"/>
      <w:kern w:val="32"/>
      <w:sz w:val="28"/>
      <w:szCs w:val="28"/>
      <w:lang w:val="es-ES" w:eastAsia="es-ES"/>
    </w:rPr>
  </w:style>
  <w:style w:type="character" w:customStyle="1" w:styleId="Estilo2Car">
    <w:name w:val="Estilo2 Car"/>
    <w:basedOn w:val="Fuentedeprrafopredeter"/>
    <w:link w:val="Estilo2"/>
    <w:rsid w:val="00125AF2"/>
    <w:rPr>
      <w:rFonts w:ascii="Futura Md BT" w:eastAsia="MS Mincho" w:hAnsi="Futura Md BT" w:cs="Arial"/>
      <w:b/>
      <w:bCs/>
      <w:color w:val="004B85"/>
      <w:kern w:val="32"/>
      <w:sz w:val="28"/>
      <w:szCs w:val="28"/>
      <w:lang w:val="es-ES" w:eastAsia="es-ES"/>
    </w:rPr>
  </w:style>
  <w:style w:type="character" w:styleId="Textoennegrita">
    <w:name w:val="Strong"/>
    <w:basedOn w:val="Fuentedeprrafopredeter"/>
    <w:uiPriority w:val="22"/>
    <w:qFormat/>
    <w:rsid w:val="00125AF2"/>
    <w:rPr>
      <w:b/>
      <w:bCs/>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91514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91514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qFormat/>
    <w:rsid w:val="00915142"/>
    <w:rPr>
      <w:vertAlign w:val="superscript"/>
    </w:rPr>
  </w:style>
  <w:style w:type="table" w:styleId="Tablaconcuadrcula">
    <w:name w:val="Table Grid"/>
    <w:basedOn w:val="Tablanormal"/>
    <w:uiPriority w:val="39"/>
    <w:rsid w:val="00915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2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2B3A"/>
  </w:style>
  <w:style w:type="character" w:styleId="Refdecomentario">
    <w:name w:val="annotation reference"/>
    <w:basedOn w:val="Fuentedeprrafopredeter"/>
    <w:uiPriority w:val="99"/>
    <w:semiHidden/>
    <w:unhideWhenUsed/>
    <w:rsid w:val="00A34759"/>
    <w:rPr>
      <w:sz w:val="16"/>
      <w:szCs w:val="16"/>
    </w:rPr>
  </w:style>
  <w:style w:type="paragraph" w:styleId="Textocomentario">
    <w:name w:val="annotation text"/>
    <w:basedOn w:val="Normal"/>
    <w:link w:val="TextocomentarioCar"/>
    <w:uiPriority w:val="99"/>
    <w:semiHidden/>
    <w:unhideWhenUsed/>
    <w:rsid w:val="00A34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759"/>
    <w:rPr>
      <w:sz w:val="20"/>
      <w:szCs w:val="20"/>
    </w:rPr>
  </w:style>
  <w:style w:type="paragraph" w:styleId="Asuntodelcomentario">
    <w:name w:val="annotation subject"/>
    <w:basedOn w:val="Textocomentario"/>
    <w:next w:val="Textocomentario"/>
    <w:link w:val="AsuntodelcomentarioCar"/>
    <w:uiPriority w:val="99"/>
    <w:semiHidden/>
    <w:unhideWhenUsed/>
    <w:rsid w:val="00A34759"/>
    <w:rPr>
      <w:b/>
      <w:bCs/>
    </w:rPr>
  </w:style>
  <w:style w:type="character" w:customStyle="1" w:styleId="AsuntodelcomentarioCar">
    <w:name w:val="Asunto del comentario Car"/>
    <w:basedOn w:val="TextocomentarioCar"/>
    <w:link w:val="Asuntodelcomentario"/>
    <w:uiPriority w:val="99"/>
    <w:semiHidden/>
    <w:rsid w:val="00A34759"/>
    <w:rPr>
      <w:b/>
      <w:bCs/>
      <w:sz w:val="20"/>
      <w:szCs w:val="20"/>
    </w:rPr>
  </w:style>
  <w:style w:type="paragraph" w:styleId="Textodeglobo">
    <w:name w:val="Balloon Text"/>
    <w:basedOn w:val="Normal"/>
    <w:link w:val="TextodegloboCar"/>
    <w:uiPriority w:val="99"/>
    <w:semiHidden/>
    <w:unhideWhenUsed/>
    <w:rsid w:val="00513F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3FAF"/>
    <w:rPr>
      <w:rFonts w:ascii="Segoe UI" w:hAnsi="Segoe UI" w:cs="Segoe UI"/>
      <w:sz w:val="18"/>
      <w:szCs w:val="18"/>
    </w:rPr>
  </w:style>
  <w:style w:type="paragraph" w:styleId="Prrafodelista">
    <w:name w:val="List Paragraph"/>
    <w:basedOn w:val="Normal"/>
    <w:uiPriority w:val="34"/>
    <w:qFormat/>
    <w:rsid w:val="00BD0DEE"/>
    <w:pPr>
      <w:ind w:left="720"/>
      <w:contextualSpacing/>
    </w:pPr>
  </w:style>
  <w:style w:type="paragraph" w:styleId="Textonotaalfinal">
    <w:name w:val="endnote text"/>
    <w:basedOn w:val="Normal"/>
    <w:link w:val="TextonotaalfinalCar"/>
    <w:uiPriority w:val="99"/>
    <w:semiHidden/>
    <w:unhideWhenUsed/>
    <w:rsid w:val="007F352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352D"/>
    <w:rPr>
      <w:sz w:val="20"/>
      <w:szCs w:val="20"/>
    </w:rPr>
  </w:style>
  <w:style w:type="character" w:styleId="Refdenotaalfinal">
    <w:name w:val="endnote reference"/>
    <w:basedOn w:val="Fuentedeprrafopredeter"/>
    <w:uiPriority w:val="99"/>
    <w:semiHidden/>
    <w:unhideWhenUsed/>
    <w:rsid w:val="007F352D"/>
    <w:rPr>
      <w:vertAlign w:val="superscript"/>
    </w:rPr>
  </w:style>
  <w:style w:type="paragraph" w:styleId="Textoindependiente">
    <w:name w:val="Body Text"/>
    <w:basedOn w:val="Normal"/>
    <w:link w:val="TextoindependienteCar"/>
    <w:rsid w:val="007F352D"/>
    <w:pPr>
      <w:spacing w:after="0" w:line="240" w:lineRule="auto"/>
      <w:jc w:val="both"/>
    </w:pPr>
    <w:rPr>
      <w:rFonts w:ascii="Futura Lt BT" w:eastAsia="Times New Roman" w:hAnsi="Futura Lt BT" w:cs="Times New Roman"/>
      <w:sz w:val="24"/>
      <w:szCs w:val="24"/>
      <w:lang w:val="es-MX" w:eastAsia="es-ES"/>
    </w:rPr>
  </w:style>
  <w:style w:type="character" w:customStyle="1" w:styleId="TextoindependienteCar">
    <w:name w:val="Texto independiente Car"/>
    <w:basedOn w:val="Fuentedeprrafopredeter"/>
    <w:link w:val="Textoindependiente"/>
    <w:rsid w:val="007F352D"/>
    <w:rPr>
      <w:rFonts w:ascii="Futura Lt BT" w:eastAsia="Times New Roman" w:hAnsi="Futura Lt BT"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bcentral.cl/web/banco-central/sector-externo-inversion-extranjera-directa" TargetMode="External"/><Relationship Id="rId2" Type="http://schemas.openxmlformats.org/officeDocument/2006/relationships/hyperlink" Target="https://www.bcentral.cl/documents/33528/2546144/Cuenta_Capital.pdf" TargetMode="External"/><Relationship Id="rId1" Type="http://schemas.openxmlformats.org/officeDocument/2006/relationships/hyperlink" Target="https://si3.bcentral.cl/estadisticas/Principal1/Metodologias/SE/BDP/Transferencias.pdf" TargetMode="External"/><Relationship Id="rId5" Type="http://schemas.openxmlformats.org/officeDocument/2006/relationships/hyperlink" Target="https://si3.bcentral.cl/estadisticas/Principal1/Metodologias/SE/BDP/CF_Reserva.pdf" TargetMode="External"/><Relationship Id="rId4" Type="http://schemas.openxmlformats.org/officeDocument/2006/relationships/hyperlink" Target="https://si3.bcentral.cl/estadisticas/Principal1/enlaces/excel/SE/Excel_SE_Balanz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1F7A-7A81-486C-B094-6E3C00AA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2336</Words>
  <Characters>12853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Aráuz Angulo, Elisa Javiera</dc:creator>
  <cp:keywords/>
  <dc:description/>
  <cp:lastModifiedBy>Morales Lugo, Francisco José</cp:lastModifiedBy>
  <cp:revision>4</cp:revision>
  <cp:lastPrinted>2023-05-12T15:15:00Z</cp:lastPrinted>
  <dcterms:created xsi:type="dcterms:W3CDTF">2024-01-26T15:29:00Z</dcterms:created>
  <dcterms:modified xsi:type="dcterms:W3CDTF">2024-01-26T15:58:00Z</dcterms:modified>
</cp:coreProperties>
</file>